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7C0DA" w14:textId="58822EF9" w:rsidR="00E60512" w:rsidRDefault="00E60512" w:rsidP="00E60512">
      <w:pPr>
        <w:ind w:firstLine="720"/>
        <w:jc w:val="center"/>
        <w:rPr>
          <w:rFonts w:ascii="Times New Roman" w:hAnsi="Times New Roman" w:cs="Times New Roman"/>
        </w:rPr>
      </w:pPr>
    </w:p>
    <w:p w14:paraId="1550E279" w14:textId="5B0CF188" w:rsidR="00E60512" w:rsidRDefault="00E60512" w:rsidP="00E60512">
      <w:pPr>
        <w:ind w:firstLine="720"/>
        <w:jc w:val="center"/>
        <w:rPr>
          <w:rFonts w:ascii="Times New Roman" w:hAnsi="Times New Roman" w:cs="Times New Roman"/>
        </w:rPr>
      </w:pPr>
    </w:p>
    <w:p w14:paraId="1A9AC361" w14:textId="77777777" w:rsidR="00E60512" w:rsidRDefault="00E60512" w:rsidP="00E60512">
      <w:pPr>
        <w:ind w:firstLine="720"/>
        <w:jc w:val="center"/>
        <w:rPr>
          <w:rFonts w:ascii="Times New Roman" w:hAnsi="Times New Roman" w:cs="Times New Roman"/>
        </w:rPr>
      </w:pPr>
    </w:p>
    <w:p w14:paraId="7A7CE8E3" w14:textId="77777777" w:rsidR="00E60512" w:rsidRDefault="00E60512" w:rsidP="00E60512">
      <w:pPr>
        <w:ind w:firstLine="720"/>
        <w:jc w:val="center"/>
        <w:rPr>
          <w:rFonts w:ascii="Times New Roman" w:hAnsi="Times New Roman" w:cs="Times New Roman"/>
        </w:rPr>
      </w:pPr>
    </w:p>
    <w:p w14:paraId="70A03447" w14:textId="77777777" w:rsidR="00E60512" w:rsidRDefault="00E60512" w:rsidP="00E60512">
      <w:pPr>
        <w:ind w:firstLine="720"/>
        <w:jc w:val="center"/>
        <w:rPr>
          <w:rFonts w:ascii="Times New Roman" w:hAnsi="Times New Roman" w:cs="Times New Roman"/>
        </w:rPr>
      </w:pPr>
    </w:p>
    <w:p w14:paraId="753CD2B5" w14:textId="24FF48FF" w:rsidR="00E60512" w:rsidRDefault="00E60512" w:rsidP="00E60512">
      <w:pPr>
        <w:ind w:firstLine="720"/>
        <w:jc w:val="center"/>
        <w:rPr>
          <w:rFonts w:ascii="Times New Roman" w:hAnsi="Times New Roman" w:cs="Times New Roman"/>
        </w:rPr>
      </w:pPr>
      <w:r>
        <w:rPr>
          <w:rFonts w:ascii="Times New Roman" w:hAnsi="Times New Roman" w:cs="Times New Roman"/>
        </w:rPr>
        <w:t xml:space="preserve">REIMAGINING THE TAKEAWAY: </w:t>
      </w:r>
    </w:p>
    <w:p w14:paraId="754DF7BE" w14:textId="1A6A68DE" w:rsidR="00E60512" w:rsidRDefault="00E60512" w:rsidP="00E60512">
      <w:pPr>
        <w:ind w:firstLine="720"/>
        <w:jc w:val="center"/>
        <w:rPr>
          <w:rFonts w:ascii="Times New Roman" w:hAnsi="Times New Roman" w:cs="Times New Roman"/>
        </w:rPr>
      </w:pPr>
      <w:r>
        <w:rPr>
          <w:rFonts w:ascii="Times New Roman" w:hAnsi="Times New Roman" w:cs="Times New Roman"/>
        </w:rPr>
        <w:t>AN INVITATION TO WONDER</w:t>
      </w:r>
    </w:p>
    <w:p w14:paraId="7F45BD46" w14:textId="4D02793C" w:rsidR="00E60512" w:rsidRDefault="00E60512" w:rsidP="00E60512">
      <w:pPr>
        <w:ind w:firstLine="720"/>
        <w:jc w:val="center"/>
        <w:rPr>
          <w:rFonts w:ascii="Times New Roman" w:hAnsi="Times New Roman" w:cs="Times New Roman"/>
        </w:rPr>
      </w:pPr>
    </w:p>
    <w:p w14:paraId="72F1CCEF" w14:textId="414FDA5F" w:rsidR="00E60512" w:rsidRDefault="00E60512" w:rsidP="00E60512">
      <w:pPr>
        <w:ind w:firstLine="720"/>
        <w:jc w:val="center"/>
        <w:rPr>
          <w:rFonts w:ascii="Times New Roman" w:hAnsi="Times New Roman" w:cs="Times New Roman"/>
        </w:rPr>
      </w:pPr>
    </w:p>
    <w:p w14:paraId="2F793791" w14:textId="58559356" w:rsidR="00E60512" w:rsidRDefault="00E60512" w:rsidP="00E60512">
      <w:pPr>
        <w:ind w:firstLine="720"/>
        <w:jc w:val="center"/>
        <w:rPr>
          <w:rFonts w:ascii="Times New Roman" w:hAnsi="Times New Roman" w:cs="Times New Roman"/>
        </w:rPr>
      </w:pPr>
    </w:p>
    <w:p w14:paraId="66022607" w14:textId="3E4612F7" w:rsidR="00E60512" w:rsidRDefault="00E60512" w:rsidP="00E60512">
      <w:pPr>
        <w:ind w:firstLine="720"/>
        <w:jc w:val="center"/>
        <w:rPr>
          <w:rFonts w:ascii="Times New Roman" w:hAnsi="Times New Roman" w:cs="Times New Roman"/>
        </w:rPr>
      </w:pPr>
    </w:p>
    <w:p w14:paraId="21526673" w14:textId="7130FFA6" w:rsidR="00E60512" w:rsidRDefault="00E60512" w:rsidP="00E60512">
      <w:pPr>
        <w:ind w:firstLine="720"/>
        <w:jc w:val="center"/>
        <w:rPr>
          <w:rFonts w:ascii="Times New Roman" w:hAnsi="Times New Roman" w:cs="Times New Roman"/>
        </w:rPr>
      </w:pPr>
    </w:p>
    <w:p w14:paraId="7FCC7425" w14:textId="77777777" w:rsidR="00E60512" w:rsidRDefault="00E60512" w:rsidP="00E60512">
      <w:pPr>
        <w:ind w:firstLine="720"/>
        <w:jc w:val="center"/>
        <w:rPr>
          <w:rFonts w:ascii="Times New Roman" w:hAnsi="Times New Roman" w:cs="Times New Roman"/>
        </w:rPr>
      </w:pPr>
    </w:p>
    <w:p w14:paraId="09F82386" w14:textId="77777777" w:rsidR="00E60512" w:rsidRDefault="00E60512" w:rsidP="00E60512">
      <w:pPr>
        <w:ind w:firstLine="720"/>
        <w:jc w:val="center"/>
        <w:rPr>
          <w:rFonts w:ascii="Times New Roman" w:hAnsi="Times New Roman" w:cs="Times New Roman"/>
        </w:rPr>
      </w:pPr>
    </w:p>
    <w:p w14:paraId="5BDC4E27" w14:textId="2DAF1485" w:rsidR="00E60512" w:rsidRDefault="00E60512" w:rsidP="00E60512">
      <w:pPr>
        <w:ind w:firstLine="720"/>
        <w:jc w:val="center"/>
        <w:rPr>
          <w:rFonts w:ascii="Times New Roman" w:hAnsi="Times New Roman" w:cs="Times New Roman"/>
        </w:rPr>
      </w:pPr>
    </w:p>
    <w:p w14:paraId="30B310CD" w14:textId="4444D1CB" w:rsidR="00E60512" w:rsidRDefault="00E60512" w:rsidP="00E60512">
      <w:pPr>
        <w:ind w:firstLine="720"/>
        <w:jc w:val="center"/>
        <w:rPr>
          <w:rFonts w:ascii="Times New Roman" w:hAnsi="Times New Roman" w:cs="Times New Roman"/>
        </w:rPr>
      </w:pPr>
      <w:r>
        <w:rPr>
          <w:rFonts w:ascii="Times New Roman" w:hAnsi="Times New Roman" w:cs="Times New Roman"/>
        </w:rPr>
        <w:t>Lauren Calvin Cooke</w:t>
      </w:r>
    </w:p>
    <w:p w14:paraId="1F314432" w14:textId="70422855" w:rsidR="00E60512" w:rsidRDefault="00E60512" w:rsidP="00E60512">
      <w:pPr>
        <w:ind w:firstLine="720"/>
        <w:jc w:val="center"/>
        <w:rPr>
          <w:rFonts w:ascii="Times New Roman" w:hAnsi="Times New Roman" w:cs="Times New Roman"/>
        </w:rPr>
      </w:pPr>
      <w:r>
        <w:rPr>
          <w:rFonts w:ascii="Times New Roman" w:hAnsi="Times New Roman" w:cs="Times New Roman"/>
        </w:rPr>
        <w:t>Northlake Church of Christ</w:t>
      </w:r>
    </w:p>
    <w:p w14:paraId="35122CE1" w14:textId="21574AF2" w:rsidR="00E60512" w:rsidRDefault="00E60512" w:rsidP="00E60512">
      <w:pPr>
        <w:ind w:firstLine="720"/>
        <w:jc w:val="center"/>
        <w:rPr>
          <w:rFonts w:ascii="Times New Roman" w:hAnsi="Times New Roman" w:cs="Times New Roman"/>
        </w:rPr>
      </w:pPr>
      <w:r w:rsidRPr="00E60512">
        <w:rPr>
          <w:rFonts w:ascii="Times New Roman" w:hAnsi="Times New Roman" w:cs="Times New Roman"/>
        </w:rPr>
        <w:t>laurencalvincooke@gmail.com</w:t>
      </w:r>
    </w:p>
    <w:p w14:paraId="012839B0" w14:textId="2462230B" w:rsidR="00E60512" w:rsidRDefault="00E60512" w:rsidP="00E60512">
      <w:pPr>
        <w:ind w:firstLine="720"/>
        <w:jc w:val="center"/>
        <w:rPr>
          <w:rFonts w:ascii="Times New Roman" w:hAnsi="Times New Roman" w:cs="Times New Roman"/>
        </w:rPr>
      </w:pPr>
    </w:p>
    <w:p w14:paraId="63E73410" w14:textId="77777777" w:rsidR="00E60512" w:rsidRDefault="00E60512" w:rsidP="00E60512">
      <w:pPr>
        <w:ind w:firstLine="720"/>
        <w:jc w:val="center"/>
        <w:rPr>
          <w:rFonts w:ascii="Times New Roman" w:hAnsi="Times New Roman" w:cs="Times New Roman"/>
        </w:rPr>
      </w:pPr>
    </w:p>
    <w:p w14:paraId="3A229883" w14:textId="0F777D5C" w:rsidR="00E60512" w:rsidRDefault="00E60512" w:rsidP="00E60512">
      <w:pPr>
        <w:ind w:firstLine="720"/>
        <w:jc w:val="center"/>
        <w:rPr>
          <w:rFonts w:ascii="Times New Roman" w:hAnsi="Times New Roman" w:cs="Times New Roman"/>
        </w:rPr>
      </w:pPr>
    </w:p>
    <w:p w14:paraId="7610F64E" w14:textId="03C5FDE8" w:rsidR="00E60512" w:rsidRDefault="00E60512" w:rsidP="00E60512">
      <w:pPr>
        <w:ind w:firstLine="720"/>
        <w:jc w:val="center"/>
        <w:rPr>
          <w:rFonts w:ascii="Times New Roman" w:hAnsi="Times New Roman" w:cs="Times New Roman"/>
        </w:rPr>
      </w:pPr>
    </w:p>
    <w:p w14:paraId="5DAA7297" w14:textId="6EFAE55E" w:rsidR="00E60512" w:rsidRDefault="00E60512" w:rsidP="00E60512">
      <w:pPr>
        <w:ind w:firstLine="720"/>
        <w:jc w:val="center"/>
        <w:rPr>
          <w:rFonts w:ascii="Times New Roman" w:hAnsi="Times New Roman" w:cs="Times New Roman"/>
        </w:rPr>
      </w:pPr>
    </w:p>
    <w:p w14:paraId="2A3E312C" w14:textId="77777777" w:rsidR="00E60512" w:rsidRDefault="00E60512" w:rsidP="00E60512">
      <w:pPr>
        <w:ind w:firstLine="720"/>
        <w:jc w:val="center"/>
        <w:rPr>
          <w:rFonts w:ascii="Times New Roman" w:hAnsi="Times New Roman" w:cs="Times New Roman"/>
        </w:rPr>
      </w:pPr>
    </w:p>
    <w:p w14:paraId="041FBC2E" w14:textId="77777777" w:rsidR="00E60512" w:rsidRDefault="00E60512" w:rsidP="00E60512">
      <w:pPr>
        <w:rPr>
          <w:rFonts w:ascii="Times New Roman" w:hAnsi="Times New Roman" w:cs="Times New Roman"/>
        </w:rPr>
      </w:pPr>
    </w:p>
    <w:p w14:paraId="46878D7C" w14:textId="77777777" w:rsidR="00E60512" w:rsidRDefault="00E60512" w:rsidP="00E60512">
      <w:pPr>
        <w:rPr>
          <w:rFonts w:ascii="Times New Roman" w:hAnsi="Times New Roman" w:cs="Times New Roman"/>
        </w:rPr>
      </w:pPr>
    </w:p>
    <w:p w14:paraId="0E7DAFF3" w14:textId="5082D739" w:rsidR="00E60512" w:rsidRDefault="00E60512" w:rsidP="00E60512">
      <w:pPr>
        <w:rPr>
          <w:rFonts w:ascii="Times New Roman" w:hAnsi="Times New Roman" w:cs="Times New Roman"/>
        </w:rPr>
      </w:pPr>
      <w:r>
        <w:rPr>
          <w:rFonts w:ascii="Times New Roman" w:hAnsi="Times New Roman" w:cs="Times New Roman"/>
        </w:rPr>
        <w:t xml:space="preserve">Abstract: </w:t>
      </w:r>
      <w:r>
        <w:rPr>
          <w:rFonts w:ascii="Times New Roman" w:hAnsi="Times New Roman" w:cs="Times New Roman"/>
        </w:rPr>
        <w:t xml:space="preserve">This paper analyzes the concept of the “takeaway”: the brief, memorable phrase that summarizes the main point of a lesson in youth ministry curricula. This paper identifies </w:t>
      </w:r>
      <w:r>
        <w:rPr>
          <w:rFonts w:ascii="Times New Roman" w:hAnsi="Times New Roman" w:cs="Times New Roman"/>
        </w:rPr>
        <w:t>two problems</w:t>
      </w:r>
      <w:r>
        <w:rPr>
          <w:rFonts w:ascii="Times New Roman" w:hAnsi="Times New Roman" w:cs="Times New Roman"/>
        </w:rPr>
        <w:t xml:space="preserve"> with the takeaway model and proposes reimagining the takeaway as </w:t>
      </w:r>
      <w:r>
        <w:rPr>
          <w:rFonts w:ascii="Times New Roman" w:hAnsi="Times New Roman" w:cs="Times New Roman"/>
        </w:rPr>
        <w:t>an opportunity to cultivate wonder and theological imagin</w:t>
      </w:r>
      <w:bookmarkStart w:id="0" w:name="_GoBack"/>
      <w:bookmarkEnd w:id="0"/>
      <w:r>
        <w:rPr>
          <w:rFonts w:ascii="Times New Roman" w:hAnsi="Times New Roman" w:cs="Times New Roman"/>
        </w:rPr>
        <w:t>ation</w:t>
      </w:r>
      <w:r>
        <w:rPr>
          <w:rFonts w:ascii="Times New Roman" w:hAnsi="Times New Roman" w:cs="Times New Roman"/>
        </w:rPr>
        <w:t>. It concludes by offering four different models of a “takeaway” that can enhance the critical thinking skills and theological imaginations of young people.</w:t>
      </w:r>
    </w:p>
    <w:p w14:paraId="31DE391D" w14:textId="7D0A481E" w:rsidR="00E60512" w:rsidRDefault="00E60512" w:rsidP="00E60512">
      <w:pPr>
        <w:ind w:firstLine="720"/>
        <w:jc w:val="center"/>
        <w:rPr>
          <w:rFonts w:ascii="Times New Roman" w:hAnsi="Times New Roman" w:cs="Times New Roman"/>
        </w:rPr>
      </w:pPr>
    </w:p>
    <w:p w14:paraId="48C0BC70" w14:textId="2EF13FB9" w:rsidR="00E60512" w:rsidRDefault="00E60512" w:rsidP="00E60512">
      <w:pPr>
        <w:ind w:firstLine="720"/>
        <w:jc w:val="center"/>
        <w:rPr>
          <w:rFonts w:ascii="Times New Roman" w:hAnsi="Times New Roman" w:cs="Times New Roman"/>
        </w:rPr>
      </w:pPr>
    </w:p>
    <w:p w14:paraId="782674C5" w14:textId="765A9E3A" w:rsidR="00E60512" w:rsidRDefault="00E60512" w:rsidP="00E60512">
      <w:pPr>
        <w:ind w:firstLine="720"/>
        <w:jc w:val="center"/>
        <w:rPr>
          <w:rFonts w:ascii="Times New Roman" w:hAnsi="Times New Roman" w:cs="Times New Roman"/>
        </w:rPr>
      </w:pPr>
    </w:p>
    <w:p w14:paraId="0D75103C" w14:textId="594B977A" w:rsidR="00E60512" w:rsidRDefault="00E60512" w:rsidP="00E60512">
      <w:pPr>
        <w:ind w:firstLine="720"/>
        <w:jc w:val="center"/>
        <w:rPr>
          <w:rFonts w:ascii="Times New Roman" w:hAnsi="Times New Roman" w:cs="Times New Roman"/>
        </w:rPr>
      </w:pPr>
    </w:p>
    <w:p w14:paraId="43FEFD76" w14:textId="284E5F0D" w:rsidR="00E60512" w:rsidRDefault="00E60512" w:rsidP="00E60512">
      <w:pPr>
        <w:ind w:firstLine="720"/>
        <w:jc w:val="center"/>
        <w:rPr>
          <w:rFonts w:ascii="Times New Roman" w:hAnsi="Times New Roman" w:cs="Times New Roman"/>
        </w:rPr>
      </w:pPr>
    </w:p>
    <w:p w14:paraId="61A13EA0" w14:textId="77777777" w:rsidR="00E60512" w:rsidRDefault="00E60512" w:rsidP="00E60512">
      <w:pPr>
        <w:ind w:firstLine="720"/>
        <w:jc w:val="center"/>
        <w:rPr>
          <w:rFonts w:ascii="Times New Roman" w:hAnsi="Times New Roman" w:cs="Times New Roman"/>
        </w:rPr>
      </w:pPr>
    </w:p>
    <w:p w14:paraId="16547EFC" w14:textId="429856CC" w:rsidR="00E60512" w:rsidRDefault="00E60512" w:rsidP="00E60512">
      <w:pPr>
        <w:ind w:firstLine="720"/>
        <w:jc w:val="center"/>
        <w:rPr>
          <w:rFonts w:ascii="Times New Roman" w:hAnsi="Times New Roman" w:cs="Times New Roman"/>
        </w:rPr>
      </w:pPr>
    </w:p>
    <w:p w14:paraId="6946B45C" w14:textId="77777777" w:rsidR="00E60512" w:rsidRDefault="00E60512" w:rsidP="00E60512">
      <w:pPr>
        <w:ind w:firstLine="720"/>
        <w:jc w:val="center"/>
        <w:rPr>
          <w:rFonts w:ascii="Times New Roman" w:hAnsi="Times New Roman" w:cs="Times New Roman"/>
        </w:rPr>
      </w:pPr>
    </w:p>
    <w:p w14:paraId="0A80722A" w14:textId="7CA871DF" w:rsidR="00E60512" w:rsidRDefault="00E60512" w:rsidP="00E60512">
      <w:pPr>
        <w:ind w:firstLine="720"/>
        <w:jc w:val="center"/>
        <w:rPr>
          <w:rFonts w:ascii="Times New Roman" w:hAnsi="Times New Roman" w:cs="Times New Roman"/>
        </w:rPr>
      </w:pPr>
    </w:p>
    <w:p w14:paraId="65257630" w14:textId="5D01291F" w:rsidR="00E60512" w:rsidRDefault="00E60512" w:rsidP="00E60512">
      <w:pPr>
        <w:ind w:firstLine="720"/>
        <w:jc w:val="center"/>
        <w:rPr>
          <w:rFonts w:ascii="Times New Roman" w:hAnsi="Times New Roman" w:cs="Times New Roman"/>
        </w:rPr>
      </w:pPr>
      <w:r>
        <w:rPr>
          <w:rFonts w:ascii="Times New Roman" w:hAnsi="Times New Roman" w:cs="Times New Roman"/>
        </w:rPr>
        <w:t>This paper is shared with you in a spirit of collegial collaboration. You do not have permission to copy, disseminate, or quote extensively from it, without the expressed, written permission of the author.</w:t>
      </w:r>
    </w:p>
    <w:p w14:paraId="0BBCF546" w14:textId="77777777" w:rsidR="00E60512" w:rsidRDefault="00E60512">
      <w:pPr>
        <w:rPr>
          <w:rFonts w:ascii="Times New Roman" w:hAnsi="Times New Roman" w:cs="Times New Roman"/>
        </w:rPr>
      </w:pPr>
      <w:r>
        <w:rPr>
          <w:rFonts w:ascii="Times New Roman" w:hAnsi="Times New Roman" w:cs="Times New Roman"/>
        </w:rPr>
        <w:br w:type="page"/>
      </w:r>
    </w:p>
    <w:p w14:paraId="7A6502AC" w14:textId="297ED0F8" w:rsidR="000F5B58" w:rsidRPr="00CC7328" w:rsidRDefault="00E60512" w:rsidP="00E60512">
      <w:pPr>
        <w:spacing w:line="480" w:lineRule="auto"/>
        <w:ind w:firstLine="720"/>
        <w:rPr>
          <w:rFonts w:ascii="Times New Roman" w:hAnsi="Times New Roman" w:cs="Times New Roman"/>
          <w:i/>
        </w:rPr>
      </w:pPr>
      <w:r>
        <w:rPr>
          <w:rFonts w:ascii="Times New Roman" w:hAnsi="Times New Roman" w:cs="Times New Roman"/>
        </w:rPr>
        <w:lastRenderedPageBreak/>
        <w:t>“</w:t>
      </w:r>
      <w:r w:rsidR="000F5B58">
        <w:rPr>
          <w:rFonts w:ascii="Times New Roman" w:hAnsi="Times New Roman" w:cs="Times New Roman"/>
        </w:rPr>
        <w:t xml:space="preserve">If you don’t hear anything else I’ve said today, hear this.” I have heard this phrase more times than I can count at youth conferences and retreats. Assuming that the youth have tuned out by the end, the speaker offers a signpost: </w:t>
      </w:r>
      <w:r w:rsidR="00CC7328">
        <w:rPr>
          <w:rFonts w:ascii="Times New Roman" w:hAnsi="Times New Roman" w:cs="Times New Roman"/>
        </w:rPr>
        <w:t>“</w:t>
      </w:r>
      <w:r w:rsidR="000F5B58">
        <w:rPr>
          <w:rFonts w:ascii="Times New Roman" w:hAnsi="Times New Roman" w:cs="Times New Roman"/>
        </w:rPr>
        <w:t>Now is the time to pay attention; here comes the main point.</w:t>
      </w:r>
      <w:r w:rsidR="00CC7328">
        <w:rPr>
          <w:rFonts w:ascii="Times New Roman" w:hAnsi="Times New Roman" w:cs="Times New Roman"/>
        </w:rPr>
        <w:t>”</w:t>
      </w:r>
      <w:r w:rsidR="000F5B58">
        <w:rPr>
          <w:rFonts w:ascii="Times New Roman" w:hAnsi="Times New Roman" w:cs="Times New Roman"/>
        </w:rPr>
        <w:t xml:space="preserve"> When one examines the scope and sequence for most youth ministry curricula, one almost invariably finds two pieces of information about each lesson: a key Scripture text, and the lesson’s main point. </w:t>
      </w:r>
      <w:r w:rsidR="000F5B58">
        <w:rPr>
          <w:rFonts w:ascii="Times New Roman" w:hAnsi="Times New Roman" w:cs="Times New Roman"/>
        </w:rPr>
        <w:t xml:space="preserve">In the curriculum itself, the same information is featured prominently at the top of each lesson plan, bracketed off so that the facilitator cannot miss it: </w:t>
      </w:r>
      <w:r w:rsidR="000F5B58">
        <w:rPr>
          <w:rFonts w:ascii="Times New Roman" w:hAnsi="Times New Roman" w:cs="Times New Roman"/>
          <w:i/>
        </w:rPr>
        <w:t xml:space="preserve">This </w:t>
      </w:r>
      <w:r w:rsidR="000F5B58">
        <w:rPr>
          <w:rFonts w:ascii="Times New Roman" w:hAnsi="Times New Roman" w:cs="Times New Roman"/>
        </w:rPr>
        <w:t>is what students are supposed to learn from this lesson.</w:t>
      </w:r>
    </w:p>
    <w:p w14:paraId="6C201BFB" w14:textId="1E76E199" w:rsidR="000F5B58" w:rsidRDefault="000F5B58" w:rsidP="00F53E18">
      <w:pPr>
        <w:spacing w:line="480" w:lineRule="auto"/>
        <w:ind w:firstLine="720"/>
        <w:rPr>
          <w:rFonts w:ascii="Times New Roman" w:hAnsi="Times New Roman" w:cs="Times New Roman"/>
        </w:rPr>
      </w:pPr>
      <w:r>
        <w:rPr>
          <w:rFonts w:ascii="Times New Roman" w:hAnsi="Times New Roman" w:cs="Times New Roman"/>
        </w:rPr>
        <w:t>Key texts are</w:t>
      </w:r>
      <w:r>
        <w:rPr>
          <w:rFonts w:ascii="Times New Roman" w:hAnsi="Times New Roman" w:cs="Times New Roman"/>
        </w:rPr>
        <w:t xml:space="preserve"> brief, usually only a verse or two, and </w:t>
      </w:r>
      <w:r>
        <w:rPr>
          <w:rFonts w:ascii="Times New Roman" w:hAnsi="Times New Roman" w:cs="Times New Roman"/>
        </w:rPr>
        <w:t>they</w:t>
      </w:r>
      <w:r>
        <w:rPr>
          <w:rFonts w:ascii="Times New Roman" w:hAnsi="Times New Roman" w:cs="Times New Roman"/>
        </w:rPr>
        <w:t xml:space="preserve"> make sense as a unit, seemingly easily understood without context and applicable to an individual. </w:t>
      </w:r>
      <w:r>
        <w:rPr>
          <w:rFonts w:ascii="Times New Roman" w:hAnsi="Times New Roman" w:cs="Times New Roman"/>
        </w:rPr>
        <w:t>They are</w:t>
      </w:r>
      <w:r>
        <w:rPr>
          <w:rFonts w:ascii="Times New Roman" w:hAnsi="Times New Roman" w:cs="Times New Roman"/>
        </w:rPr>
        <w:t xml:space="preserve"> usually either inspirational and encouraging (like Jeremiah 29:11</w:t>
      </w:r>
      <w:r w:rsidR="008B0021">
        <w:rPr>
          <w:rFonts w:ascii="Times New Roman" w:hAnsi="Times New Roman" w:cs="Times New Roman"/>
        </w:rPr>
        <w:t>, “I know the plans I have for you”</w:t>
      </w:r>
      <w:r>
        <w:rPr>
          <w:rFonts w:ascii="Times New Roman" w:hAnsi="Times New Roman" w:cs="Times New Roman"/>
        </w:rPr>
        <w:t xml:space="preserve">), or </w:t>
      </w:r>
      <w:r>
        <w:rPr>
          <w:rFonts w:ascii="Times New Roman" w:hAnsi="Times New Roman" w:cs="Times New Roman"/>
        </w:rPr>
        <w:t>they</w:t>
      </w:r>
      <w:r>
        <w:rPr>
          <w:rFonts w:ascii="Times New Roman" w:hAnsi="Times New Roman" w:cs="Times New Roman"/>
        </w:rPr>
        <w:t xml:space="preserve"> appear to have a straightforward “go and do” application or moral. One typically does not see a key text from Leviticus, or a verse that recounts the generations of a patriarch, because these texts cannot stand alone or convey an applicable message without context or explanation.</w:t>
      </w:r>
      <w:r>
        <w:rPr>
          <w:rFonts w:ascii="Times New Roman" w:hAnsi="Times New Roman" w:cs="Times New Roman"/>
        </w:rPr>
        <w:t xml:space="preserve"> Relegated to the null curriculum</w:t>
      </w:r>
      <w:r w:rsidR="00EB0FC2">
        <w:rPr>
          <w:rStyle w:val="FootnoteReference"/>
          <w:rFonts w:ascii="Times New Roman" w:hAnsi="Times New Roman" w:cs="Times New Roman"/>
        </w:rPr>
        <w:footnoteReference w:id="1"/>
      </w:r>
      <w:r>
        <w:rPr>
          <w:rFonts w:ascii="Times New Roman" w:hAnsi="Times New Roman" w:cs="Times New Roman"/>
        </w:rPr>
        <w:t xml:space="preserve"> are texts that seem complicated or boring, and, perhaps most importantly, texts that acknowledge pain, doubt, or the absence of God.</w:t>
      </w:r>
      <w:r w:rsidRPr="000F5B58">
        <w:rPr>
          <w:rFonts w:ascii="Times New Roman" w:hAnsi="Times New Roman" w:cs="Times New Roman"/>
        </w:rPr>
        <w:t xml:space="preserve"> </w:t>
      </w:r>
      <w:r w:rsidRPr="000F5B58">
        <w:rPr>
          <w:rFonts w:ascii="Times New Roman" w:hAnsi="Times New Roman" w:cs="Times New Roman"/>
        </w:rPr>
        <w:t>Students are unlikely to be asked to recite together, “My God, my God, why have you forsaken me?” or write it on an index card to tape to their mirror. An approach that consistently chooses key texts implicitly communicates that the Bible is a repository of helpful one-liners, much like a day-by-day calendar full of motivational sayings</w:t>
      </w:r>
      <w:r w:rsidRPr="000F5B58">
        <w:rPr>
          <w:rFonts w:ascii="Times New Roman" w:hAnsi="Times New Roman" w:cs="Times New Roman"/>
        </w:rPr>
        <w:t>.</w:t>
      </w:r>
    </w:p>
    <w:p w14:paraId="16C666D4" w14:textId="7690B306" w:rsidR="000F5B58" w:rsidRDefault="000F5B58" w:rsidP="00F53E18">
      <w:pPr>
        <w:spacing w:line="480" w:lineRule="auto"/>
        <w:ind w:firstLine="720"/>
        <w:rPr>
          <w:rFonts w:ascii="Times New Roman" w:hAnsi="Times New Roman" w:cs="Times New Roman"/>
        </w:rPr>
      </w:pPr>
      <w:r>
        <w:rPr>
          <w:rFonts w:ascii="Times New Roman" w:hAnsi="Times New Roman" w:cs="Times New Roman"/>
        </w:rPr>
        <w:lastRenderedPageBreak/>
        <w:t xml:space="preserve">The second piece of information highlighted by the scope and sequence is what is colloquially referred to as the “takeaway,” typically a clear theological principle or moral imperative derived from the text. </w:t>
      </w:r>
      <w:r>
        <w:rPr>
          <w:rFonts w:ascii="Times New Roman" w:hAnsi="Times New Roman" w:cs="Times New Roman"/>
        </w:rPr>
        <w:t>Alternately referred to in youth curricula as the Big Idea, the Central Truth, or the Bottom Line,</w:t>
      </w:r>
      <w:r w:rsidR="00EB0FC2">
        <w:rPr>
          <w:rStyle w:val="FootnoteReference"/>
          <w:rFonts w:ascii="Times New Roman" w:hAnsi="Times New Roman" w:cs="Times New Roman"/>
        </w:rPr>
        <w:footnoteReference w:id="2"/>
      </w:r>
      <w:r>
        <w:rPr>
          <w:rFonts w:ascii="Times New Roman" w:hAnsi="Times New Roman" w:cs="Times New Roman"/>
        </w:rPr>
        <w:t xml:space="preserve"> the takeaway is the teacher’s distillation of the lesson into a short, memorable sentence</w:t>
      </w:r>
      <w:r>
        <w:rPr>
          <w:rFonts w:ascii="Times New Roman" w:hAnsi="Times New Roman" w:cs="Times New Roman"/>
        </w:rPr>
        <w:t>; it tells students how the text is relevant to their lives and how it should inform their faith and practice.</w:t>
      </w:r>
      <w:r w:rsidR="002D77CE">
        <w:rPr>
          <w:rFonts w:ascii="Times New Roman" w:hAnsi="Times New Roman" w:cs="Times New Roman"/>
        </w:rPr>
        <w:t xml:space="preserve"> </w:t>
      </w:r>
    </w:p>
    <w:p w14:paraId="168469CF" w14:textId="77777777" w:rsidR="00F53E18" w:rsidRDefault="00F53E18" w:rsidP="00F53E18">
      <w:pPr>
        <w:keepNext/>
        <w:spacing w:line="480" w:lineRule="auto"/>
        <w:ind w:firstLine="720"/>
      </w:pPr>
      <w:r>
        <w:rPr>
          <w:rFonts w:ascii="Times New Roman" w:hAnsi="Times New Roman" w:cs="Times New Roman"/>
          <w:noProof/>
        </w:rPr>
        <w:drawing>
          <wp:inline distT="0" distB="0" distL="0" distR="0" wp14:anchorId="75897A5A" wp14:editId="0F3EDAF8">
            <wp:extent cx="4802587" cy="36583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4-09-04 at 11.27.35 AM.png"/>
                    <pic:cNvPicPr/>
                  </pic:nvPicPr>
                  <pic:blipFill>
                    <a:blip r:embed="rId7">
                      <a:extLst>
                        <a:ext uri="{28A0092B-C50C-407E-A947-70E740481C1C}">
                          <a14:useLocalDpi xmlns:a14="http://schemas.microsoft.com/office/drawing/2010/main" val="0"/>
                        </a:ext>
                      </a:extLst>
                    </a:blip>
                    <a:stretch>
                      <a:fillRect/>
                    </a:stretch>
                  </pic:blipFill>
                  <pic:spPr>
                    <a:xfrm>
                      <a:off x="0" y="0"/>
                      <a:ext cx="4802587" cy="3658381"/>
                    </a:xfrm>
                    <a:prstGeom prst="rect">
                      <a:avLst/>
                    </a:prstGeom>
                  </pic:spPr>
                </pic:pic>
              </a:graphicData>
            </a:graphic>
          </wp:inline>
        </w:drawing>
      </w:r>
    </w:p>
    <w:p w14:paraId="2830F04E" w14:textId="6A36673E" w:rsidR="00F53E18" w:rsidRDefault="00F53E18" w:rsidP="00F53E18">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w:t>
      </w:r>
      <w:r>
        <w:t xml:space="preserve">Ministry to Youth, “Choices: New 4-Week Series,” One-Year Youth Curriculum vol. 4, </w:t>
      </w:r>
      <w:r w:rsidRPr="00F53E18">
        <w:t>https://ministry-to-youth.com/collections/back-to-school-youth-group-lessons-and-games/products/choices-4-week-series</w:t>
      </w:r>
      <w:r>
        <w:t>.</w:t>
      </w:r>
    </w:p>
    <w:p w14:paraId="45B7C0C7" w14:textId="1A0FAD88" w:rsidR="00F53E18" w:rsidRDefault="00F53E18" w:rsidP="00F53E18"/>
    <w:p w14:paraId="2D34F712" w14:textId="77777777" w:rsidR="00F53E18" w:rsidRDefault="00F53E18" w:rsidP="00F53E18">
      <w:pPr>
        <w:keepNext/>
      </w:pPr>
      <w:r>
        <w:rPr>
          <w:noProof/>
        </w:rPr>
        <w:lastRenderedPageBreak/>
        <w:drawing>
          <wp:inline distT="0" distB="0" distL="0" distR="0" wp14:anchorId="48E259B3" wp14:editId="51835669">
            <wp:extent cx="5943600" cy="30645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4-09-04 at 11.22.46 AM.png"/>
                    <pic:cNvPicPr/>
                  </pic:nvPicPr>
                  <pic:blipFill>
                    <a:blip r:embed="rId8">
                      <a:extLst>
                        <a:ext uri="{28A0092B-C50C-407E-A947-70E740481C1C}">
                          <a14:useLocalDpi xmlns:a14="http://schemas.microsoft.com/office/drawing/2010/main" val="0"/>
                        </a:ext>
                      </a:extLst>
                    </a:blip>
                    <a:stretch>
                      <a:fillRect/>
                    </a:stretch>
                  </pic:blipFill>
                  <pic:spPr>
                    <a:xfrm>
                      <a:off x="0" y="0"/>
                      <a:ext cx="5943600" cy="3064510"/>
                    </a:xfrm>
                    <a:prstGeom prst="rect">
                      <a:avLst/>
                    </a:prstGeom>
                  </pic:spPr>
                </pic:pic>
              </a:graphicData>
            </a:graphic>
          </wp:inline>
        </w:drawing>
      </w:r>
    </w:p>
    <w:p w14:paraId="541E32E8" w14:textId="0CE73CD9" w:rsidR="00F53E18" w:rsidRPr="00F53E18" w:rsidRDefault="00F53E18" w:rsidP="00F53E18">
      <w:pPr>
        <w:pStyle w:val="Caption"/>
      </w:pPr>
      <w:r>
        <w:t xml:space="preserve">Figure </w:t>
      </w:r>
      <w:r>
        <w:fldChar w:fldCharType="begin"/>
      </w:r>
      <w:r>
        <w:instrText xml:space="preserve"> SEQ Figure \* ARABIC </w:instrText>
      </w:r>
      <w:r>
        <w:fldChar w:fldCharType="separate"/>
      </w:r>
      <w:r>
        <w:rPr>
          <w:noProof/>
        </w:rPr>
        <w:t>2</w:t>
      </w:r>
      <w:r>
        <w:fldChar w:fldCharType="end"/>
      </w:r>
      <w:r>
        <w:t xml:space="preserve">, </w:t>
      </w:r>
      <w:r w:rsidRPr="00834738">
        <w:t>Orange, “XP3 2024-2025 Scope and Cycle.” While this particular Scope and Cycle will no longer be accessible at the end of the identified year, the Scope &amp; Cycle for the current year is available to download at https://tinyurl.com/yn4v34y8.</w:t>
      </w:r>
    </w:p>
    <w:p w14:paraId="7176479B" w14:textId="348DB7B9" w:rsidR="000F5B58" w:rsidRDefault="000F5B58" w:rsidP="00F53E18">
      <w:pPr>
        <w:spacing w:line="480" w:lineRule="auto"/>
        <w:ind w:firstLine="720"/>
        <w:rPr>
          <w:rFonts w:ascii="Times New Roman" w:hAnsi="Times New Roman" w:cs="Times New Roman"/>
        </w:rPr>
      </w:pPr>
      <w:r>
        <w:rPr>
          <w:rFonts w:ascii="Times New Roman" w:hAnsi="Times New Roman" w:cs="Times New Roman"/>
        </w:rPr>
        <w:t>A common structure for youth curricula is to introduce the takeaway through an illustrative game or activity</w:t>
      </w:r>
      <w:r w:rsidR="00EB0FC2">
        <w:rPr>
          <w:rFonts w:ascii="Times New Roman" w:hAnsi="Times New Roman" w:cs="Times New Roman"/>
        </w:rPr>
        <w:t xml:space="preserve">, </w:t>
      </w:r>
      <w:r>
        <w:rPr>
          <w:rFonts w:ascii="Times New Roman" w:hAnsi="Times New Roman" w:cs="Times New Roman"/>
        </w:rPr>
        <w:t>explain the key text</w:t>
      </w:r>
      <w:r>
        <w:rPr>
          <w:rFonts w:ascii="Times New Roman" w:hAnsi="Times New Roman" w:cs="Times New Roman"/>
        </w:rPr>
        <w:t xml:space="preserve">, discuss with students how to apply it to their lives, and conclude by repeating and reinforcing </w:t>
      </w:r>
      <w:r>
        <w:rPr>
          <w:rFonts w:ascii="Times New Roman" w:hAnsi="Times New Roman" w:cs="Times New Roman"/>
        </w:rPr>
        <w:t>the takeaway</w:t>
      </w:r>
      <w:r>
        <w:rPr>
          <w:rFonts w:ascii="Times New Roman" w:hAnsi="Times New Roman" w:cs="Times New Roman"/>
        </w:rPr>
        <w:t>.</w:t>
      </w:r>
      <w:r w:rsidR="00EB0FC2">
        <w:rPr>
          <w:rStyle w:val="FootnoteReference"/>
          <w:rFonts w:ascii="Times New Roman" w:hAnsi="Times New Roman" w:cs="Times New Roman"/>
        </w:rPr>
        <w:footnoteReference w:id="3"/>
      </w:r>
      <w:r>
        <w:rPr>
          <w:rFonts w:ascii="Times New Roman" w:hAnsi="Times New Roman" w:cs="Times New Roman"/>
        </w:rPr>
        <w:t xml:space="preserve"> </w:t>
      </w:r>
      <w:r w:rsidR="00DE0673">
        <w:rPr>
          <w:rFonts w:ascii="Times New Roman" w:hAnsi="Times New Roman" w:cs="Times New Roman"/>
        </w:rPr>
        <w:t>Y</w:t>
      </w:r>
      <w:r>
        <w:rPr>
          <w:rFonts w:ascii="Times New Roman" w:hAnsi="Times New Roman" w:cs="Times New Roman"/>
        </w:rPr>
        <w:t xml:space="preserve">outh ministry scholar Andrew </w:t>
      </w:r>
      <w:proofErr w:type="spellStart"/>
      <w:r>
        <w:rPr>
          <w:rFonts w:ascii="Times New Roman" w:hAnsi="Times New Roman" w:cs="Times New Roman"/>
        </w:rPr>
        <w:t>Zirschky</w:t>
      </w:r>
      <w:proofErr w:type="spellEnd"/>
      <w:r>
        <w:rPr>
          <w:rFonts w:ascii="Times New Roman" w:hAnsi="Times New Roman" w:cs="Times New Roman"/>
        </w:rPr>
        <w:t xml:space="preserve"> identifies this method as the “instructional approach”</w:t>
      </w:r>
      <w:r w:rsidRPr="000F5B58">
        <w:rPr>
          <w:rFonts w:ascii="Times New Roman" w:hAnsi="Times New Roman" w:cs="Times New Roman"/>
        </w:rPr>
        <w:t xml:space="preserve"> and defines its goal as helping students “understand a small portion of Scripture and then help them apply it to their lives.”</w:t>
      </w:r>
      <w:r w:rsidRPr="000F5B58">
        <w:rPr>
          <w:rStyle w:val="FootnoteReference"/>
          <w:rFonts w:ascii="Times New Roman" w:hAnsi="Times New Roman" w:cs="Times New Roman"/>
        </w:rPr>
        <w:footnoteReference w:id="4"/>
      </w:r>
    </w:p>
    <w:p w14:paraId="3CA95123" w14:textId="4A03C697" w:rsidR="000F5B58" w:rsidRDefault="000F5B58" w:rsidP="00F53E18">
      <w:pPr>
        <w:spacing w:line="480" w:lineRule="auto"/>
        <w:ind w:firstLine="720"/>
        <w:rPr>
          <w:rFonts w:ascii="Times New Roman" w:hAnsi="Times New Roman" w:cs="Times New Roman"/>
        </w:rPr>
      </w:pPr>
      <w:r>
        <w:rPr>
          <w:rFonts w:ascii="Times New Roman" w:hAnsi="Times New Roman" w:cs="Times New Roman"/>
        </w:rPr>
        <w:t>Youth ministers tend to default to this style of teaching for a few reasons</w:t>
      </w:r>
      <w:r w:rsidRPr="000F5B58">
        <w:rPr>
          <w:rFonts w:ascii="Times New Roman" w:hAnsi="Times New Roman" w:cs="Times New Roman"/>
        </w:rPr>
        <w:t xml:space="preserve">. </w:t>
      </w:r>
      <w:r w:rsidRPr="000F5B58">
        <w:rPr>
          <w:rFonts w:ascii="Times New Roman" w:hAnsi="Times New Roman" w:cs="Times New Roman"/>
        </w:rPr>
        <w:t xml:space="preserve">First, the key texts are memorable. If one of the goals of biblical education is for young people to have a repository of familiar Scriptures to which they can turn, the key text approach is a way to build up their repertoire and encourage them to memorize passages. Second, the takeaway makes the </w:t>
      </w:r>
      <w:r w:rsidRPr="000F5B58">
        <w:rPr>
          <w:rFonts w:ascii="Times New Roman" w:hAnsi="Times New Roman" w:cs="Times New Roman"/>
        </w:rPr>
        <w:lastRenderedPageBreak/>
        <w:t xml:space="preserve">text seem relevant. Getting teenagers interested in the Bible is a perennial concern of youth ministers, and </w:t>
      </w:r>
      <w:r w:rsidR="00EB0FC2">
        <w:rPr>
          <w:rFonts w:ascii="Times New Roman" w:hAnsi="Times New Roman" w:cs="Times New Roman"/>
        </w:rPr>
        <w:t>students’</w:t>
      </w:r>
      <w:r w:rsidRPr="000F5B58">
        <w:rPr>
          <w:rFonts w:ascii="Times New Roman" w:hAnsi="Times New Roman" w:cs="Times New Roman"/>
        </w:rPr>
        <w:t xml:space="preserve"> buy-in is more likely if they can see how this ancient text applies to their experience and is immediately relevant for their life.</w:t>
      </w:r>
      <w:r w:rsidRPr="000F5B58">
        <w:rPr>
          <w:rStyle w:val="FootnoteReference"/>
          <w:rFonts w:ascii="Times New Roman" w:hAnsi="Times New Roman" w:cs="Times New Roman"/>
        </w:rPr>
        <w:footnoteReference w:id="5"/>
      </w:r>
      <w:r w:rsidRPr="000F5B58">
        <w:rPr>
          <w:rFonts w:ascii="Times New Roman" w:hAnsi="Times New Roman" w:cs="Times New Roman"/>
        </w:rPr>
        <w:t xml:space="preserve"> Third, as </w:t>
      </w:r>
      <w:proofErr w:type="spellStart"/>
      <w:r w:rsidRPr="000F5B58">
        <w:rPr>
          <w:rFonts w:ascii="Times New Roman" w:hAnsi="Times New Roman" w:cs="Times New Roman"/>
        </w:rPr>
        <w:t>Zirschky</w:t>
      </w:r>
      <w:proofErr w:type="spellEnd"/>
      <w:r w:rsidRPr="000F5B58">
        <w:rPr>
          <w:rFonts w:ascii="Times New Roman" w:hAnsi="Times New Roman" w:cs="Times New Roman"/>
        </w:rPr>
        <w:t xml:space="preserve"> points out, this approach may be the only way of engaging Scripture in youth ministry that has been modeled for youth ministers, or to which they have had exposure</w:t>
      </w:r>
      <w:r w:rsidR="002A5AEF">
        <w:rPr>
          <w:rFonts w:ascii="Times New Roman" w:hAnsi="Times New Roman" w:cs="Times New Roman"/>
        </w:rPr>
        <w:t>,</w:t>
      </w:r>
      <w:r w:rsidRPr="000F5B58">
        <w:rPr>
          <w:rFonts w:ascii="Times New Roman" w:hAnsi="Times New Roman" w:cs="Times New Roman"/>
        </w:rPr>
        <w:t xml:space="preserve"> either in their own church experience, or because</w:t>
      </w:r>
      <w:r w:rsidR="00CD5FD0">
        <w:rPr>
          <w:rFonts w:ascii="Times New Roman" w:hAnsi="Times New Roman" w:cs="Times New Roman"/>
        </w:rPr>
        <w:t xml:space="preserve"> </w:t>
      </w:r>
      <w:r w:rsidRPr="000F5B58">
        <w:rPr>
          <w:rFonts w:ascii="Times New Roman" w:hAnsi="Times New Roman" w:cs="Times New Roman"/>
        </w:rPr>
        <w:t>this is the approach taken in the curricula they use.</w:t>
      </w:r>
      <w:r w:rsidRPr="000F5B58">
        <w:rPr>
          <w:rStyle w:val="FootnoteReference"/>
          <w:rFonts w:ascii="Times New Roman" w:hAnsi="Times New Roman" w:cs="Times New Roman"/>
        </w:rPr>
        <w:footnoteReference w:id="6"/>
      </w:r>
    </w:p>
    <w:p w14:paraId="189C66CA" w14:textId="387A908B" w:rsidR="00CD5FD0" w:rsidRDefault="00CD5FD0" w:rsidP="00F53E18">
      <w:pPr>
        <w:spacing w:line="480" w:lineRule="auto"/>
        <w:ind w:firstLine="720"/>
        <w:rPr>
          <w:rFonts w:ascii="Times New Roman" w:hAnsi="Times New Roman" w:cs="Times New Roman"/>
        </w:rPr>
      </w:pPr>
      <w:r>
        <w:rPr>
          <w:rFonts w:ascii="Times New Roman" w:hAnsi="Times New Roman" w:cs="Times New Roman"/>
        </w:rPr>
        <w:t>However, the key text and takeaway approach has significant limitations. Not least among them is that the selection of key biblical texts perpetuates misunderstandings of, and inadequate ways of reading, the Bible</w:t>
      </w:r>
      <w:r w:rsidR="00F53E18">
        <w:rPr>
          <w:rFonts w:ascii="Times New Roman" w:hAnsi="Times New Roman" w:cs="Times New Roman"/>
        </w:rPr>
        <w:t>—</w:t>
      </w:r>
      <w:r>
        <w:rPr>
          <w:rFonts w:ascii="Times New Roman" w:hAnsi="Times New Roman" w:cs="Times New Roman"/>
        </w:rPr>
        <w:t xml:space="preserve">a concern that I </w:t>
      </w:r>
      <w:r w:rsidR="00183F42">
        <w:rPr>
          <w:rFonts w:ascii="Times New Roman" w:hAnsi="Times New Roman" w:cs="Times New Roman"/>
        </w:rPr>
        <w:t>gesture toward throughout this article and have written on more extensively elsewhere</w:t>
      </w:r>
      <w:r>
        <w:rPr>
          <w:rFonts w:ascii="Times New Roman" w:hAnsi="Times New Roman" w:cs="Times New Roman"/>
        </w:rPr>
        <w:t xml:space="preserve">, but </w:t>
      </w:r>
      <w:r w:rsidR="00183F42">
        <w:rPr>
          <w:rFonts w:ascii="Times New Roman" w:hAnsi="Times New Roman" w:cs="Times New Roman"/>
        </w:rPr>
        <w:t>a full exploration of which</w:t>
      </w:r>
      <w:r>
        <w:rPr>
          <w:rFonts w:ascii="Times New Roman" w:hAnsi="Times New Roman" w:cs="Times New Roman"/>
        </w:rPr>
        <w:t xml:space="preserve"> is beyond the scope of this article. Instead, from a pedagogical perspective, I will focus on </w:t>
      </w:r>
      <w:r w:rsidR="001C2061">
        <w:rPr>
          <w:rFonts w:ascii="Times New Roman" w:hAnsi="Times New Roman" w:cs="Times New Roman"/>
        </w:rPr>
        <w:t>two</w:t>
      </w:r>
      <w:r>
        <w:rPr>
          <w:rFonts w:ascii="Times New Roman" w:hAnsi="Times New Roman" w:cs="Times New Roman"/>
        </w:rPr>
        <w:t xml:space="preserve"> main problems with the </w:t>
      </w:r>
      <w:r w:rsidR="001C2061">
        <w:rPr>
          <w:rFonts w:ascii="Times New Roman" w:hAnsi="Times New Roman" w:cs="Times New Roman"/>
        </w:rPr>
        <w:t>takeaway model</w:t>
      </w:r>
      <w:r>
        <w:rPr>
          <w:rFonts w:ascii="Times New Roman" w:hAnsi="Times New Roman" w:cs="Times New Roman"/>
        </w:rPr>
        <w:t>.</w:t>
      </w:r>
    </w:p>
    <w:p w14:paraId="59DA8BB0" w14:textId="048CC58E" w:rsidR="00DA0050" w:rsidRPr="00DA0050" w:rsidRDefault="00DA0050" w:rsidP="00F53E18">
      <w:pPr>
        <w:spacing w:line="480" w:lineRule="auto"/>
        <w:jc w:val="center"/>
        <w:rPr>
          <w:rFonts w:ascii="Times New Roman" w:hAnsi="Times New Roman" w:cs="Times New Roman"/>
          <w:b/>
        </w:rPr>
      </w:pPr>
      <w:r>
        <w:rPr>
          <w:rFonts w:ascii="Times New Roman" w:hAnsi="Times New Roman" w:cs="Times New Roman"/>
          <w:b/>
        </w:rPr>
        <w:t>Two Problems with the Takeaway</w:t>
      </w:r>
    </w:p>
    <w:p w14:paraId="04A5E779" w14:textId="4E324414" w:rsidR="00C22B18" w:rsidRDefault="00CD5FD0" w:rsidP="00F53E18">
      <w:pPr>
        <w:spacing w:line="480" w:lineRule="auto"/>
        <w:ind w:firstLine="720"/>
        <w:rPr>
          <w:rFonts w:ascii="Times New Roman" w:hAnsi="Times New Roman" w:cs="Times New Roman"/>
        </w:rPr>
      </w:pPr>
      <w:r>
        <w:rPr>
          <w:rFonts w:ascii="Times New Roman" w:hAnsi="Times New Roman" w:cs="Times New Roman"/>
        </w:rPr>
        <w:t xml:space="preserve">The first issue with a takeaway is that it is concerned with giving students </w:t>
      </w:r>
      <w:r>
        <w:rPr>
          <w:rFonts w:ascii="Times New Roman" w:hAnsi="Times New Roman" w:cs="Times New Roman"/>
          <w:i/>
        </w:rPr>
        <w:t xml:space="preserve">content </w:t>
      </w:r>
      <w:r>
        <w:rPr>
          <w:rFonts w:ascii="Times New Roman" w:hAnsi="Times New Roman" w:cs="Times New Roman"/>
        </w:rPr>
        <w:t xml:space="preserve">to learn, rather than engaging them in </w:t>
      </w:r>
      <w:r>
        <w:rPr>
          <w:rFonts w:ascii="Times New Roman" w:hAnsi="Times New Roman" w:cs="Times New Roman"/>
          <w:i/>
        </w:rPr>
        <w:t xml:space="preserve">processes </w:t>
      </w:r>
      <w:r>
        <w:rPr>
          <w:rFonts w:ascii="Times New Roman" w:hAnsi="Times New Roman" w:cs="Times New Roman"/>
        </w:rPr>
        <w:t>of thinking and learning.</w:t>
      </w:r>
      <w:r w:rsidR="009C355A">
        <w:rPr>
          <w:rFonts w:ascii="Times New Roman" w:hAnsi="Times New Roman" w:cs="Times New Roman"/>
        </w:rPr>
        <w:t xml:space="preserve"> </w:t>
      </w:r>
      <w:r w:rsidR="00C22B18">
        <w:rPr>
          <w:rFonts w:ascii="Times New Roman" w:hAnsi="Times New Roman" w:cs="Times New Roman"/>
        </w:rPr>
        <w:t>It is only by “actively [experiencing] various cognitive and affective processes” that students can grow in their ability to think theologically.</w:t>
      </w:r>
      <w:r w:rsidR="00C22B18">
        <w:rPr>
          <w:rStyle w:val="FootnoteReference"/>
          <w:rFonts w:ascii="Times New Roman" w:hAnsi="Times New Roman" w:cs="Times New Roman"/>
        </w:rPr>
        <w:footnoteReference w:id="7"/>
      </w:r>
      <w:r w:rsidR="00C22B18">
        <w:rPr>
          <w:rFonts w:ascii="Times New Roman" w:hAnsi="Times New Roman" w:cs="Times New Roman"/>
        </w:rPr>
        <w:t xml:space="preserve"> </w:t>
      </w:r>
      <w:r w:rsidR="009C355A">
        <w:rPr>
          <w:rFonts w:ascii="Times New Roman" w:hAnsi="Times New Roman" w:cs="Times New Roman"/>
        </w:rPr>
        <w:t xml:space="preserve">The takeaway is a pre-digested nugget of information that absolves </w:t>
      </w:r>
      <w:r w:rsidR="009C355A">
        <w:rPr>
          <w:rFonts w:ascii="Times New Roman" w:hAnsi="Times New Roman" w:cs="Times New Roman"/>
        </w:rPr>
        <w:lastRenderedPageBreak/>
        <w:t xml:space="preserve">students of the responsibility of doing their own interpretive work. </w:t>
      </w:r>
      <w:r w:rsidR="00E12C44">
        <w:rPr>
          <w:rFonts w:ascii="Times New Roman" w:hAnsi="Times New Roman" w:cs="Times New Roman"/>
        </w:rPr>
        <w:t>It treats young people</w:t>
      </w:r>
      <w:r w:rsidR="00E12C44">
        <w:rPr>
          <w:rFonts w:ascii="Times New Roman" w:hAnsi="Times New Roman" w:cs="Times New Roman"/>
        </w:rPr>
        <w:t xml:space="preserve"> as passive consumers of the Bible’s content; it does not </w:t>
      </w:r>
      <w:r w:rsidR="00C22B18">
        <w:rPr>
          <w:rFonts w:ascii="Times New Roman" w:hAnsi="Times New Roman" w:cs="Times New Roman"/>
        </w:rPr>
        <w:t>cultivate their ability</w:t>
      </w:r>
      <w:r w:rsidR="00E12C44">
        <w:rPr>
          <w:rFonts w:ascii="Times New Roman" w:hAnsi="Times New Roman" w:cs="Times New Roman"/>
        </w:rPr>
        <w:t xml:space="preserve"> to explore the text critically or equip them to think theologically. </w:t>
      </w:r>
    </w:p>
    <w:p w14:paraId="15D8BAE8" w14:textId="42443426" w:rsidR="00E12C44" w:rsidRDefault="00E12C44" w:rsidP="00F53E18">
      <w:pPr>
        <w:spacing w:line="480" w:lineRule="auto"/>
        <w:ind w:firstLine="720"/>
        <w:rPr>
          <w:rFonts w:ascii="Times New Roman" w:hAnsi="Times New Roman" w:cs="Times New Roman"/>
        </w:rPr>
      </w:pPr>
      <w:r>
        <w:rPr>
          <w:rFonts w:ascii="Times New Roman" w:hAnsi="Times New Roman" w:cs="Times New Roman"/>
        </w:rPr>
        <w:t>In the language of Bloom’s taxonomy, the takeaway model asks students to remember, understand, and apply the key text and takeaway, while the higher levels of learning</w:t>
      </w:r>
      <w:r w:rsidR="00F53E18">
        <w:rPr>
          <w:rFonts w:ascii="Times New Roman" w:hAnsi="Times New Roman" w:cs="Times New Roman"/>
        </w:rPr>
        <w:t>—</w:t>
      </w:r>
      <w:r>
        <w:rPr>
          <w:rFonts w:ascii="Times New Roman" w:hAnsi="Times New Roman" w:cs="Times New Roman"/>
        </w:rPr>
        <w:t>analyze, evaluate, and create</w:t>
      </w:r>
      <w:r w:rsidR="00F53E18">
        <w:rPr>
          <w:rFonts w:ascii="Times New Roman" w:hAnsi="Times New Roman" w:cs="Times New Roman"/>
        </w:rPr>
        <w:t>—</w:t>
      </w:r>
      <w:r>
        <w:rPr>
          <w:rFonts w:ascii="Times New Roman" w:hAnsi="Times New Roman" w:cs="Times New Roman"/>
        </w:rPr>
        <w:t>are often neglected.</w:t>
      </w:r>
      <w:r w:rsidR="00C22B18">
        <w:rPr>
          <w:rStyle w:val="FootnoteReference"/>
          <w:rFonts w:ascii="Times New Roman" w:hAnsi="Times New Roman" w:cs="Times New Roman"/>
        </w:rPr>
        <w:footnoteReference w:id="8"/>
      </w:r>
      <w:r>
        <w:rPr>
          <w:rFonts w:ascii="Times New Roman" w:hAnsi="Times New Roman" w:cs="Times New Roman"/>
        </w:rPr>
        <w:t xml:space="preserve"> Young people are not typically asked to analyze how a text is constructing its theology</w:t>
      </w:r>
      <w:r w:rsidR="0044109E">
        <w:rPr>
          <w:rFonts w:ascii="Times New Roman" w:hAnsi="Times New Roman" w:cs="Times New Roman"/>
        </w:rPr>
        <w:t xml:space="preserve"> or how it compares with the perspective presented in other texts</w:t>
      </w:r>
      <w:r>
        <w:rPr>
          <w:rFonts w:ascii="Times New Roman" w:hAnsi="Times New Roman" w:cs="Times New Roman"/>
        </w:rPr>
        <w:t xml:space="preserve">. They are certainly not asked to evaluate its theology, as that might undermine </w:t>
      </w:r>
      <w:r>
        <w:rPr>
          <w:rFonts w:ascii="Times New Roman" w:hAnsi="Times New Roman" w:cs="Times New Roman"/>
        </w:rPr>
        <w:t>the text’s</w:t>
      </w:r>
      <w:r>
        <w:rPr>
          <w:rFonts w:ascii="Times New Roman" w:hAnsi="Times New Roman" w:cs="Times New Roman"/>
        </w:rPr>
        <w:t xml:space="preserve"> authority. And they are </w:t>
      </w:r>
      <w:r>
        <w:rPr>
          <w:rFonts w:ascii="Times New Roman" w:hAnsi="Times New Roman" w:cs="Times New Roman"/>
          <w:i/>
        </w:rPr>
        <w:t xml:space="preserve">definitely </w:t>
      </w:r>
      <w:r>
        <w:rPr>
          <w:rFonts w:ascii="Times New Roman" w:hAnsi="Times New Roman" w:cs="Times New Roman"/>
        </w:rPr>
        <w:t>not invited to create their own theology in response. Within the top half of Bloom’s taxonomy, there are endless opportunities for exploration of the biblical text that rarely materialize in youth curriculum. It is less theologically risky to interpret the text for young people and end with application</w:t>
      </w:r>
      <w:r w:rsidR="00F53E18">
        <w:rPr>
          <w:rFonts w:ascii="Times New Roman" w:hAnsi="Times New Roman" w:cs="Times New Roman"/>
        </w:rPr>
        <w:t>—</w:t>
      </w:r>
      <w:r>
        <w:rPr>
          <w:rFonts w:ascii="Times New Roman" w:hAnsi="Times New Roman" w:cs="Times New Roman"/>
        </w:rPr>
        <w:t>in short, to provide them with a takeaway</w:t>
      </w:r>
      <w:r w:rsidR="00F53E18">
        <w:rPr>
          <w:rFonts w:ascii="Times New Roman" w:hAnsi="Times New Roman" w:cs="Times New Roman"/>
        </w:rPr>
        <w:t>—t</w:t>
      </w:r>
      <w:r>
        <w:rPr>
          <w:rFonts w:ascii="Times New Roman" w:hAnsi="Times New Roman" w:cs="Times New Roman"/>
        </w:rPr>
        <w:t>ha</w:t>
      </w:r>
      <w:r>
        <w:rPr>
          <w:rFonts w:ascii="Times New Roman" w:hAnsi="Times New Roman" w:cs="Times New Roman"/>
        </w:rPr>
        <w:t>n</w:t>
      </w:r>
      <w:r>
        <w:rPr>
          <w:rFonts w:ascii="Times New Roman" w:hAnsi="Times New Roman" w:cs="Times New Roman"/>
        </w:rPr>
        <w:t xml:space="preserve"> to invite them to interpret the text for themselves, to question core doctrines, to disagree with the biblical text, or to posit their own ideas about God. </w:t>
      </w:r>
      <w:r w:rsidRPr="00E12C44">
        <w:rPr>
          <w:rFonts w:ascii="Times New Roman" w:hAnsi="Times New Roman" w:cs="Times New Roman"/>
        </w:rPr>
        <w:t>As Kenda Dean writes, the church prefers to treat young people as consumers of theology, rather than people who help to construct it.</w:t>
      </w:r>
      <w:r w:rsidRPr="00E12C44">
        <w:rPr>
          <w:rStyle w:val="FootnoteReference"/>
          <w:rFonts w:ascii="Times New Roman" w:hAnsi="Times New Roman" w:cs="Times New Roman"/>
        </w:rPr>
        <w:footnoteReference w:id="9"/>
      </w:r>
    </w:p>
    <w:p w14:paraId="74DF5765" w14:textId="77777777" w:rsidR="00C22B18" w:rsidRDefault="009C355A" w:rsidP="00F53E18">
      <w:pPr>
        <w:spacing w:line="480" w:lineRule="auto"/>
        <w:ind w:firstLine="720"/>
        <w:rPr>
          <w:rFonts w:ascii="Times New Roman" w:hAnsi="Times New Roman" w:cs="Times New Roman"/>
        </w:rPr>
      </w:pPr>
      <w:r w:rsidRPr="009C355A">
        <w:rPr>
          <w:rFonts w:ascii="Times New Roman" w:hAnsi="Times New Roman" w:cs="Times New Roman"/>
        </w:rPr>
        <w:t xml:space="preserve">At its core, the takeaway represents what Paulo Freire called the “banking model” of education, </w:t>
      </w:r>
      <w:r w:rsidRPr="009C355A">
        <w:rPr>
          <w:rFonts w:ascii="Times New Roman" w:hAnsi="Times New Roman" w:cs="Times New Roman"/>
        </w:rPr>
        <w:t>in which the teacher deposits information into the minds of students, rather than asking students to engage content for themselves.</w:t>
      </w:r>
      <w:r w:rsidRPr="009C355A">
        <w:rPr>
          <w:rStyle w:val="FootnoteReference"/>
          <w:rFonts w:ascii="Times New Roman" w:hAnsi="Times New Roman" w:cs="Times New Roman"/>
        </w:rPr>
        <w:footnoteReference w:id="10"/>
      </w:r>
      <w:r>
        <w:rPr>
          <w:rFonts w:ascii="Times New Roman" w:hAnsi="Times New Roman" w:cs="Times New Roman"/>
        </w:rPr>
        <w:t xml:space="preserve"> </w:t>
      </w:r>
      <w:r w:rsidR="00183F42">
        <w:rPr>
          <w:rFonts w:ascii="Times New Roman" w:hAnsi="Times New Roman" w:cs="Times New Roman"/>
        </w:rPr>
        <w:t xml:space="preserve">In the banking model, the material is the “private property” of the teacher, rather than a shared “object of reflection” about which teacher </w:t>
      </w:r>
      <w:r w:rsidR="00183F42">
        <w:rPr>
          <w:rFonts w:ascii="Times New Roman" w:hAnsi="Times New Roman" w:cs="Times New Roman"/>
        </w:rPr>
        <w:lastRenderedPageBreak/>
        <w:t>and students can dialogue and learn together.</w:t>
      </w:r>
      <w:r w:rsidR="00183F42">
        <w:rPr>
          <w:rStyle w:val="FootnoteReference"/>
          <w:rFonts w:ascii="Times New Roman" w:hAnsi="Times New Roman" w:cs="Times New Roman"/>
        </w:rPr>
        <w:footnoteReference w:id="11"/>
      </w:r>
      <w:r w:rsidR="00183F42">
        <w:rPr>
          <w:rFonts w:ascii="Times New Roman" w:hAnsi="Times New Roman" w:cs="Times New Roman"/>
        </w:rPr>
        <w:t xml:space="preserve"> </w:t>
      </w:r>
      <w:r w:rsidRPr="009C355A">
        <w:rPr>
          <w:rFonts w:ascii="Times New Roman" w:hAnsi="Times New Roman" w:cs="Times New Roman"/>
        </w:rPr>
        <w:t>As Freire writes, there are two stages in the banking model: first, the teacher “cognizes a cognizable object while he prepares his lessons,” (that is, the teacher studies the material for herself), and second, the teacher “expounds to his students about that object.”</w:t>
      </w:r>
      <w:r w:rsidRPr="009C355A">
        <w:rPr>
          <w:rStyle w:val="FootnoteReference"/>
          <w:rFonts w:ascii="Times New Roman" w:hAnsi="Times New Roman" w:cs="Times New Roman"/>
        </w:rPr>
        <w:footnoteReference w:id="12"/>
      </w:r>
      <w:r w:rsidRPr="009C355A">
        <w:rPr>
          <w:rFonts w:ascii="Times New Roman" w:hAnsi="Times New Roman" w:cs="Times New Roman"/>
        </w:rPr>
        <w:t xml:space="preserve"> In this process, “the students are not called upon to know, but to memorize the contents narrated by the teacher.”</w:t>
      </w:r>
      <w:r w:rsidRPr="009C355A">
        <w:rPr>
          <w:rStyle w:val="FootnoteReference"/>
          <w:rFonts w:ascii="Times New Roman" w:hAnsi="Times New Roman" w:cs="Times New Roman"/>
        </w:rPr>
        <w:footnoteReference w:id="13"/>
      </w:r>
      <w:r w:rsidRPr="009C355A">
        <w:rPr>
          <w:rFonts w:ascii="Times New Roman" w:hAnsi="Times New Roman" w:cs="Times New Roman"/>
        </w:rPr>
        <w:t xml:space="preserve"> </w:t>
      </w:r>
    </w:p>
    <w:p w14:paraId="1B402E41" w14:textId="5ED38D44" w:rsidR="00CD5FD0" w:rsidRDefault="00183F42" w:rsidP="00F53E18">
      <w:pPr>
        <w:spacing w:line="480" w:lineRule="auto"/>
        <w:ind w:firstLine="720"/>
        <w:rPr>
          <w:rFonts w:ascii="Times New Roman" w:hAnsi="Times New Roman" w:cs="Times New Roman"/>
        </w:rPr>
      </w:pPr>
      <w:r>
        <w:rPr>
          <w:rFonts w:ascii="Times New Roman" w:hAnsi="Times New Roman" w:cs="Times New Roman"/>
        </w:rPr>
        <w:t xml:space="preserve">The two stages of the banking model accurately reflect the way many youth ministers have described their lesson-writing process to me in interviews: first, they </w:t>
      </w:r>
      <w:r w:rsidR="009C355A" w:rsidRPr="009C355A">
        <w:rPr>
          <w:rFonts w:ascii="Times New Roman" w:hAnsi="Times New Roman" w:cs="Times New Roman"/>
        </w:rPr>
        <w:t xml:space="preserve">come to their own conclusions about the meaning of a biblical text and distill it into a catchy takeaway. Then, </w:t>
      </w:r>
      <w:r w:rsidR="009C355A">
        <w:rPr>
          <w:rFonts w:ascii="Times New Roman" w:hAnsi="Times New Roman" w:cs="Times New Roman"/>
        </w:rPr>
        <w:t>they</w:t>
      </w:r>
      <w:r w:rsidR="009C355A" w:rsidRPr="009C355A">
        <w:rPr>
          <w:rFonts w:ascii="Times New Roman" w:hAnsi="Times New Roman" w:cs="Times New Roman"/>
        </w:rPr>
        <w:t xml:space="preserve"> provide students with the takeaway to memorize, rather than presenting them with the text itself to explore.</w:t>
      </w:r>
      <w:r>
        <w:rPr>
          <w:rFonts w:ascii="Times New Roman" w:hAnsi="Times New Roman" w:cs="Times New Roman"/>
        </w:rPr>
        <w:t xml:space="preserve"> As one Miami youth minister described, using a recent lesson on Proverbs as an example, “I’m looking at ‘[go to] the ant,’…and I thought, ‘Well, this sounds like cooperation and communication, let’s just go with that,’ and then I just used allusions to the text to kind of reinforce that principle.”</w:t>
      </w:r>
    </w:p>
    <w:p w14:paraId="4D9CD0DF" w14:textId="20A35756" w:rsidR="00C520FB" w:rsidRDefault="00C520FB" w:rsidP="00F53E18">
      <w:pPr>
        <w:spacing w:line="480" w:lineRule="auto"/>
        <w:ind w:firstLine="720"/>
        <w:rPr>
          <w:rFonts w:ascii="Times New Roman" w:hAnsi="Times New Roman" w:cs="Times New Roman"/>
        </w:rPr>
      </w:pPr>
      <w:r>
        <w:rPr>
          <w:rFonts w:ascii="Times New Roman" w:hAnsi="Times New Roman" w:cs="Times New Roman"/>
        </w:rPr>
        <w:t xml:space="preserve">The second problem with takeaways, stemming from the first, is that they value convergence and uniformity. Rather than students “taking away” different ideas from an encounter with the material, they all learn the same principle. Takeaways are definitive, rather than generative; instead of beginning conversation, they end it, foreclosing the possibility of other readings or perspectives. By telling students what to think and how to understand the material (typically the biblical text), takeaways limit, rather than cultivate, students’ theological imagination. </w:t>
      </w:r>
    </w:p>
    <w:p w14:paraId="1405CA5D" w14:textId="042C2E18" w:rsidR="00C520FB" w:rsidRDefault="00C520FB" w:rsidP="00F53E18">
      <w:pPr>
        <w:spacing w:line="480" w:lineRule="auto"/>
        <w:rPr>
          <w:rFonts w:ascii="Times New Roman" w:hAnsi="Times New Roman" w:cs="Times New Roman"/>
        </w:rPr>
      </w:pPr>
      <w:r>
        <w:rPr>
          <w:rFonts w:ascii="Times New Roman" w:hAnsi="Times New Roman" w:cs="Times New Roman"/>
        </w:rPr>
        <w:lastRenderedPageBreak/>
        <w:tab/>
        <w:t xml:space="preserve">Takeaways thus do a disservice to the material itself, as they reduce multivalent texts to a single interpretation. A </w:t>
      </w:r>
      <w:r>
        <w:rPr>
          <w:rFonts w:ascii="Times New Roman" w:hAnsi="Times New Roman" w:cs="Times New Roman"/>
          <w:i/>
        </w:rPr>
        <w:t xml:space="preserve">Ministry to Youth </w:t>
      </w:r>
      <w:r>
        <w:rPr>
          <w:rFonts w:ascii="Times New Roman" w:hAnsi="Times New Roman" w:cs="Times New Roman"/>
        </w:rPr>
        <w:t>lesson on Proverbs typifies this tendency when, after reading the proverb “As iron sharpens iron, so one person sharpens another” (Prov. 27:17), the teacher script continues, “Can anyone tell me what it means? [Take responses.] Right, this means, make sure your close friendships are with people who will help you walk with Jesus.”</w:t>
      </w:r>
      <w:r w:rsidRPr="0028255B">
        <w:rPr>
          <w:rStyle w:val="FootnoteReference"/>
          <w:rFonts w:ascii="Times New Roman" w:hAnsi="Times New Roman" w:cs="Times New Roman"/>
        </w:rPr>
        <w:footnoteReference w:id="14"/>
      </w:r>
      <w:r w:rsidRPr="0028255B">
        <w:rPr>
          <w:rFonts w:ascii="Times New Roman" w:hAnsi="Times New Roman" w:cs="Times New Roman"/>
        </w:rPr>
        <w:t xml:space="preserve"> Although Prov. 27:17 has a long history of interpretation in which it is understood to refer to positive influence, it mentions neither close friendships nor Jesus, and it is framed as an observation rather than an imperative</w:t>
      </w:r>
      <w:r w:rsidR="00F278A9">
        <w:rPr>
          <w:rFonts w:ascii="Times New Roman" w:hAnsi="Times New Roman" w:cs="Times New Roman"/>
        </w:rPr>
        <w:t xml:space="preserve">; </w:t>
      </w:r>
      <w:r w:rsidRPr="0028255B">
        <w:rPr>
          <w:rFonts w:ascii="Times New Roman" w:hAnsi="Times New Roman" w:cs="Times New Roman"/>
        </w:rPr>
        <w:t>it does not tell the reader to “make sure” to do anything.</w:t>
      </w:r>
      <w:r w:rsidRPr="0028255B">
        <w:rPr>
          <w:rStyle w:val="FootnoteReference"/>
          <w:rFonts w:ascii="Times New Roman" w:hAnsi="Times New Roman" w:cs="Times New Roman"/>
        </w:rPr>
        <w:footnoteReference w:id="15"/>
      </w:r>
      <w:r>
        <w:rPr>
          <w:rFonts w:ascii="Times New Roman" w:hAnsi="Times New Roman" w:cs="Times New Roman"/>
        </w:rPr>
        <w:t xml:space="preserve"> Thus, the meaning is not unambiguous enough to warrant the educator’s assumption that it should be obvious. However, the metaphor is not offered up for the group’s reflection; it is succinctly explained to them as a single “right” interpretation.</w:t>
      </w:r>
    </w:p>
    <w:p w14:paraId="01278BF1" w14:textId="1582B7C7" w:rsidR="00183F42" w:rsidRDefault="00C520FB" w:rsidP="00F53E18">
      <w:pPr>
        <w:spacing w:line="480" w:lineRule="auto"/>
        <w:rPr>
          <w:rFonts w:ascii="Times New Roman" w:hAnsi="Times New Roman" w:cs="Times New Roman"/>
        </w:rPr>
      </w:pPr>
      <w:r>
        <w:rPr>
          <w:rFonts w:ascii="Times New Roman" w:hAnsi="Times New Roman" w:cs="Times New Roman"/>
        </w:rPr>
        <w:tab/>
      </w:r>
      <w:r w:rsidR="007F115E">
        <w:rPr>
          <w:rFonts w:ascii="Times New Roman" w:hAnsi="Times New Roman" w:cs="Times New Roman"/>
        </w:rPr>
        <w:t>The uniformity of thought engendered by the takeaway is made even more problematic by the fact that it prioritizes one person’s perspective</w:t>
      </w:r>
      <w:r w:rsidR="00556BC0">
        <w:rPr>
          <w:rFonts w:ascii="Times New Roman" w:hAnsi="Times New Roman" w:cs="Times New Roman"/>
        </w:rPr>
        <w:t>—</w:t>
      </w:r>
      <w:r w:rsidR="007F115E">
        <w:rPr>
          <w:rFonts w:ascii="Times New Roman" w:hAnsi="Times New Roman" w:cs="Times New Roman"/>
        </w:rPr>
        <w:t>the educator</w:t>
      </w:r>
      <w:r w:rsidR="00556BC0">
        <w:rPr>
          <w:rFonts w:ascii="Times New Roman" w:hAnsi="Times New Roman" w:cs="Times New Roman"/>
        </w:rPr>
        <w:t>—</w:t>
      </w:r>
      <w:r w:rsidR="007F115E">
        <w:rPr>
          <w:rFonts w:ascii="Times New Roman" w:hAnsi="Times New Roman" w:cs="Times New Roman"/>
        </w:rPr>
        <w:t>and makes that one person’s reading normative for the whole community.</w:t>
      </w:r>
      <w:r w:rsidR="007F115E">
        <w:rPr>
          <w:rFonts w:ascii="Times New Roman" w:hAnsi="Times New Roman" w:cs="Times New Roman"/>
        </w:rPr>
        <w:t xml:space="preserve"> </w:t>
      </w:r>
      <w:r>
        <w:rPr>
          <w:rFonts w:ascii="Times New Roman" w:hAnsi="Times New Roman" w:cs="Times New Roman"/>
        </w:rPr>
        <w:t xml:space="preserve">The takeaway is not only one interpretive possibility among many, but it is also shaped by the educator’s own concerns, biases, and limitations, without acknowledgment or awareness of their positionality. Instead, as in the </w:t>
      </w:r>
      <w:r>
        <w:rPr>
          <w:rFonts w:ascii="Times New Roman" w:hAnsi="Times New Roman" w:cs="Times New Roman"/>
          <w:i/>
        </w:rPr>
        <w:t xml:space="preserve">Ministry to Youth </w:t>
      </w:r>
      <w:r>
        <w:rPr>
          <w:rFonts w:ascii="Times New Roman" w:hAnsi="Times New Roman" w:cs="Times New Roman"/>
        </w:rPr>
        <w:t xml:space="preserve">example, it is often presented as the obvious reading. </w:t>
      </w:r>
      <w:r w:rsidR="00183F42">
        <w:rPr>
          <w:rFonts w:ascii="Times New Roman" w:hAnsi="Times New Roman" w:cs="Times New Roman"/>
        </w:rPr>
        <w:t xml:space="preserve">Rather than </w:t>
      </w:r>
      <w:r w:rsidR="00B725AD">
        <w:rPr>
          <w:rFonts w:ascii="Times New Roman" w:hAnsi="Times New Roman" w:cs="Times New Roman"/>
        </w:rPr>
        <w:t xml:space="preserve">students </w:t>
      </w:r>
      <w:r w:rsidR="00183F42">
        <w:rPr>
          <w:rFonts w:ascii="Times New Roman" w:hAnsi="Times New Roman" w:cs="Times New Roman"/>
        </w:rPr>
        <w:t xml:space="preserve">exploring the material for themselves, discerning the meaning of the text in community, or playing with other possible readings, </w:t>
      </w:r>
      <w:r w:rsidR="00B725AD">
        <w:rPr>
          <w:rFonts w:ascii="Times New Roman" w:hAnsi="Times New Roman" w:cs="Times New Roman"/>
        </w:rPr>
        <w:t>they</w:t>
      </w:r>
      <w:r w:rsidR="00183F42">
        <w:rPr>
          <w:rFonts w:ascii="Times New Roman" w:hAnsi="Times New Roman" w:cs="Times New Roman"/>
        </w:rPr>
        <w:t xml:space="preserve"> are expected to internalize uncritically the educator’s interpretation. </w:t>
      </w:r>
    </w:p>
    <w:p w14:paraId="020331D6" w14:textId="13C6854E" w:rsidR="007B3546" w:rsidRPr="007B3546" w:rsidRDefault="007B3546" w:rsidP="00F53E18">
      <w:pPr>
        <w:spacing w:line="480" w:lineRule="auto"/>
        <w:jc w:val="center"/>
        <w:rPr>
          <w:rFonts w:ascii="Times New Roman" w:hAnsi="Times New Roman" w:cs="Times New Roman"/>
          <w:b/>
        </w:rPr>
      </w:pPr>
      <w:r>
        <w:rPr>
          <w:rFonts w:ascii="Times New Roman" w:hAnsi="Times New Roman" w:cs="Times New Roman"/>
          <w:b/>
        </w:rPr>
        <w:lastRenderedPageBreak/>
        <w:t>Takeaways and Learning Goals</w:t>
      </w:r>
    </w:p>
    <w:p w14:paraId="6174AEEE" w14:textId="26446AFF" w:rsidR="00E12C44" w:rsidRPr="00E12C44" w:rsidRDefault="00E12C44" w:rsidP="00F53E18">
      <w:pPr>
        <w:spacing w:line="480" w:lineRule="auto"/>
        <w:rPr>
          <w:rFonts w:ascii="Times New Roman" w:hAnsi="Times New Roman" w:cs="Times New Roman"/>
        </w:rPr>
      </w:pPr>
      <w:r>
        <w:rPr>
          <w:rFonts w:ascii="Times New Roman" w:hAnsi="Times New Roman" w:cs="Times New Roman"/>
        </w:rPr>
        <w:tab/>
      </w:r>
      <w:r w:rsidRPr="00E12C44">
        <w:rPr>
          <w:rFonts w:ascii="Times New Roman" w:hAnsi="Times New Roman" w:cs="Times New Roman"/>
        </w:rPr>
        <w:t xml:space="preserve">When discussing the limitations of takeaways, however, it is important to distinguish between </w:t>
      </w:r>
      <w:r w:rsidRPr="00E12C44">
        <w:rPr>
          <w:rFonts w:ascii="Times New Roman" w:hAnsi="Times New Roman" w:cs="Times New Roman"/>
          <w:i/>
        </w:rPr>
        <w:t xml:space="preserve">takeaways </w:t>
      </w:r>
      <w:r w:rsidRPr="00E12C44">
        <w:rPr>
          <w:rFonts w:ascii="Times New Roman" w:hAnsi="Times New Roman" w:cs="Times New Roman"/>
        </w:rPr>
        <w:t xml:space="preserve">and </w:t>
      </w:r>
      <w:r w:rsidRPr="00E12C44">
        <w:rPr>
          <w:rFonts w:ascii="Times New Roman" w:hAnsi="Times New Roman" w:cs="Times New Roman"/>
          <w:i/>
        </w:rPr>
        <w:t xml:space="preserve">learning goals. </w:t>
      </w:r>
      <w:r w:rsidRPr="00E12C44">
        <w:rPr>
          <w:rFonts w:ascii="Times New Roman" w:hAnsi="Times New Roman" w:cs="Times New Roman"/>
        </w:rPr>
        <w:t xml:space="preserve">I do not mean that educators should not have learning goals for their students. </w:t>
      </w:r>
      <w:r w:rsidRPr="00E12C44">
        <w:rPr>
          <w:rFonts w:ascii="Times New Roman" w:hAnsi="Times New Roman" w:cs="Times New Roman"/>
        </w:rPr>
        <w:t xml:space="preserve">It is important for educators to approach curriculum design with goals for what they want students to know or do as a result of their teaching; otherwise, teaching becomes unfocused and directionless. Unlike a takeaway, which distills the content students are expected to learn, a learning goal describes the skills students will acquire and the thought processes in which they will engage as they learn. </w:t>
      </w:r>
      <w:r>
        <w:rPr>
          <w:rFonts w:ascii="Times New Roman" w:hAnsi="Times New Roman" w:cs="Times New Roman"/>
        </w:rPr>
        <w:t xml:space="preserve">Learning goals guide the teacher’s preparation; they are not presented to students as a principle for memorization.  </w:t>
      </w:r>
    </w:p>
    <w:p w14:paraId="5467BB93" w14:textId="2CC5755B" w:rsidR="00E12C44" w:rsidRPr="00E12C44" w:rsidRDefault="00E12C44" w:rsidP="00F53E18">
      <w:pPr>
        <w:spacing w:line="480" w:lineRule="auto"/>
        <w:ind w:firstLine="720"/>
        <w:rPr>
          <w:rFonts w:ascii="Times New Roman" w:hAnsi="Times New Roman" w:cs="Times New Roman"/>
        </w:rPr>
      </w:pPr>
      <w:r w:rsidRPr="00E12C44">
        <w:rPr>
          <w:rFonts w:ascii="Times New Roman" w:hAnsi="Times New Roman" w:cs="Times New Roman"/>
        </w:rPr>
        <w:t>For example, in a lesson on the Passion narrative(s) in the Gospels, one might approach a lesson with the learning goal that students will be able to “identify several factors contributing to Jesus’s death,” or in simpler terms, to “explain why Jesus died.” To that end, the educator might provide students with copies of the text, asking them to highlight people who were involved in Jesus’s death, or other phrases that indicate a reason or cause for his crucifixion.</w:t>
      </w:r>
      <w:r w:rsidRPr="00E12C44">
        <w:rPr>
          <w:rStyle w:val="FootnoteReference"/>
          <w:rFonts w:ascii="Times New Roman" w:hAnsi="Times New Roman" w:cs="Times New Roman"/>
        </w:rPr>
        <w:footnoteReference w:id="16"/>
      </w:r>
      <w:r w:rsidRPr="00E12C44">
        <w:rPr>
          <w:rFonts w:ascii="Times New Roman" w:hAnsi="Times New Roman" w:cs="Times New Roman"/>
        </w:rPr>
        <w:t xml:space="preserve"> On the other hand, a</w:t>
      </w:r>
      <w:r>
        <w:rPr>
          <w:rFonts w:ascii="Times New Roman" w:hAnsi="Times New Roman" w:cs="Times New Roman"/>
        </w:rPr>
        <w:t xml:space="preserve"> typical</w:t>
      </w:r>
      <w:r w:rsidRPr="00E12C44">
        <w:rPr>
          <w:rFonts w:ascii="Times New Roman" w:hAnsi="Times New Roman" w:cs="Times New Roman"/>
        </w:rPr>
        <w:t xml:space="preserve"> </w:t>
      </w:r>
      <w:r w:rsidRPr="00E12C44">
        <w:rPr>
          <w:rFonts w:ascii="Times New Roman" w:hAnsi="Times New Roman" w:cs="Times New Roman"/>
          <w:i/>
        </w:rPr>
        <w:t>takeaway</w:t>
      </w:r>
      <w:r w:rsidRPr="00E12C44">
        <w:rPr>
          <w:rFonts w:ascii="Times New Roman" w:hAnsi="Times New Roman" w:cs="Times New Roman"/>
        </w:rPr>
        <w:t xml:space="preserve"> from a lesson on the Passion might be, “Because Jesus died for us, we should live for him.” </w:t>
      </w:r>
    </w:p>
    <w:p w14:paraId="2A93CB73" w14:textId="77777777" w:rsidR="00E12C44" w:rsidRPr="00E12C44" w:rsidRDefault="00E12C44" w:rsidP="00F53E18">
      <w:pPr>
        <w:spacing w:line="480" w:lineRule="auto"/>
        <w:ind w:firstLine="720"/>
        <w:rPr>
          <w:rFonts w:ascii="Times New Roman" w:hAnsi="Times New Roman" w:cs="Times New Roman"/>
          <w:color w:val="7030A0"/>
        </w:rPr>
      </w:pPr>
      <w:r w:rsidRPr="00E12C44">
        <w:rPr>
          <w:rFonts w:ascii="Times New Roman" w:hAnsi="Times New Roman" w:cs="Times New Roman"/>
        </w:rPr>
        <w:t xml:space="preserve">In this example, the learning goal is generative; it invites student engagement with the material, rather than distilling the teacher’s own engagement with it, and in so doing, it makes space for divergent interpretations. Although a teacher might also help students identify some of the contributing causes, the goal is to help students read and interpret the text for themselves. </w:t>
      </w:r>
      <w:r w:rsidRPr="00E12C44">
        <w:rPr>
          <w:rFonts w:ascii="Times New Roman" w:hAnsi="Times New Roman" w:cs="Times New Roman"/>
        </w:rPr>
        <w:lastRenderedPageBreak/>
        <w:t>The takeaway, on the other hand, is definitive; it tells students how they should understand and apply the text, rather than inviting them to engage with the text for themselves. By presupposing one certain reading and interpretation of the Passion (namely, that Jesus died “for us”), it excludes other interpretations. However, if another reason Jesus died is “because leaders wanted to hold onto their power,” as an astute eighth grader in my youth group once pointed out, this provides a whole new lens on the text and potentially suggests some very different life applications than “living for Jesus.” In this instance, supplying the students with a takeaway would have foreclosed other fruitful readings of the text.</w:t>
      </w:r>
    </w:p>
    <w:p w14:paraId="3AACC84E" w14:textId="52D11945" w:rsidR="00E12C44" w:rsidRDefault="00E12C44" w:rsidP="00F53E18">
      <w:pPr>
        <w:spacing w:line="480" w:lineRule="auto"/>
        <w:ind w:firstLine="720"/>
        <w:rPr>
          <w:rFonts w:ascii="Times New Roman" w:hAnsi="Times New Roman" w:cs="Times New Roman"/>
        </w:rPr>
      </w:pPr>
      <w:r w:rsidRPr="00E12C44">
        <w:rPr>
          <w:rFonts w:ascii="Times New Roman" w:hAnsi="Times New Roman" w:cs="Times New Roman"/>
        </w:rPr>
        <w:t>Thus, a well-written learning goal avoids the two issues with the takeaway. First, it avoids the two-step process of the banking model Freire describes; a learning goal, rather than engaging the material on behalf of</w:t>
      </w:r>
      <w:r w:rsidRPr="00E12C44">
        <w:rPr>
          <w:rFonts w:ascii="Times New Roman" w:hAnsi="Times New Roman" w:cs="Times New Roman"/>
          <w:i/>
        </w:rPr>
        <w:t xml:space="preserve"> </w:t>
      </w:r>
      <w:r w:rsidRPr="00E12C44">
        <w:rPr>
          <w:rFonts w:ascii="Times New Roman" w:hAnsi="Times New Roman" w:cs="Times New Roman"/>
        </w:rPr>
        <w:t>students and explaining it to them, identifies how educators want students to engage the content and practice their own “acts of cognition.”</w:t>
      </w:r>
      <w:r w:rsidR="00556BC0">
        <w:rPr>
          <w:rStyle w:val="FootnoteReference"/>
          <w:rFonts w:ascii="Times New Roman" w:hAnsi="Times New Roman" w:cs="Times New Roman"/>
        </w:rPr>
        <w:footnoteReference w:id="17"/>
      </w:r>
      <w:r w:rsidRPr="00E12C44">
        <w:rPr>
          <w:rFonts w:ascii="Times New Roman" w:hAnsi="Times New Roman" w:cs="Times New Roman"/>
        </w:rPr>
        <w:t xml:space="preserve"> Second, although the learning goal provides a </w:t>
      </w:r>
      <w:r w:rsidRPr="00E12C44">
        <w:rPr>
          <w:rFonts w:ascii="Times New Roman" w:hAnsi="Times New Roman" w:cs="Times New Roman"/>
          <w:i/>
        </w:rPr>
        <w:t>direction</w:t>
      </w:r>
      <w:r w:rsidRPr="00E12C44">
        <w:rPr>
          <w:rFonts w:ascii="Times New Roman" w:hAnsi="Times New Roman" w:cs="Times New Roman"/>
        </w:rPr>
        <w:t xml:space="preserve"> for the lesson, it does not assume the </w:t>
      </w:r>
      <w:r w:rsidRPr="00E12C44">
        <w:rPr>
          <w:rFonts w:ascii="Times New Roman" w:hAnsi="Times New Roman" w:cs="Times New Roman"/>
          <w:i/>
        </w:rPr>
        <w:t xml:space="preserve">conclusion; </w:t>
      </w:r>
      <w:r w:rsidRPr="00E12C44">
        <w:rPr>
          <w:rFonts w:ascii="Times New Roman" w:hAnsi="Times New Roman" w:cs="Times New Roman"/>
        </w:rPr>
        <w:t>it is open to divergent interpretations and opinions.</w:t>
      </w:r>
    </w:p>
    <w:p w14:paraId="3E791A2D" w14:textId="5DF980AE" w:rsidR="004D1C02" w:rsidRPr="004D1C02" w:rsidRDefault="002F6DB3" w:rsidP="00F53E18">
      <w:pPr>
        <w:spacing w:line="480" w:lineRule="auto"/>
        <w:jc w:val="center"/>
        <w:rPr>
          <w:rFonts w:ascii="Times New Roman" w:hAnsi="Times New Roman" w:cs="Times New Roman"/>
          <w:b/>
        </w:rPr>
      </w:pPr>
      <w:r>
        <w:rPr>
          <w:rFonts w:ascii="Times New Roman" w:hAnsi="Times New Roman" w:cs="Times New Roman"/>
          <w:b/>
        </w:rPr>
        <w:t>The Role of Wonder in Learning</w:t>
      </w:r>
    </w:p>
    <w:p w14:paraId="5703D5DD" w14:textId="708B2AA2" w:rsidR="008F05D4" w:rsidRPr="00361D33" w:rsidRDefault="008F05D4" w:rsidP="00F53E18">
      <w:pPr>
        <w:spacing w:line="480" w:lineRule="auto"/>
        <w:ind w:firstLine="720"/>
        <w:rPr>
          <w:rFonts w:ascii="Times New Roman" w:hAnsi="Times New Roman" w:cs="Times New Roman"/>
          <w:b/>
          <w:i/>
        </w:rPr>
      </w:pPr>
      <w:r w:rsidRPr="008F05D4">
        <w:rPr>
          <w:rFonts w:ascii="Times New Roman" w:hAnsi="Times New Roman" w:cs="Times New Roman"/>
        </w:rPr>
        <w:t xml:space="preserve">In surveys I conducted for my doctoral research, youth ministers identified </w:t>
      </w:r>
      <w:r>
        <w:rPr>
          <w:rFonts w:ascii="Times New Roman" w:hAnsi="Times New Roman" w:cs="Times New Roman"/>
        </w:rPr>
        <w:t xml:space="preserve">the top challenges of biblical education as </w:t>
      </w:r>
      <w:r w:rsidRPr="008F05D4">
        <w:rPr>
          <w:rFonts w:ascii="Times New Roman" w:hAnsi="Times New Roman" w:cs="Times New Roman"/>
        </w:rPr>
        <w:t>getting/keeping youth interested or engaged, and helping youth see the relevance of the text</w:t>
      </w:r>
      <w:r>
        <w:rPr>
          <w:rFonts w:ascii="Times New Roman" w:hAnsi="Times New Roman" w:cs="Times New Roman"/>
        </w:rPr>
        <w:t>. To this end, takeaways are designed to make learning easy for students. If the message of the text is accessible, they should be engaged</w:t>
      </w:r>
      <w:r w:rsidR="00556BC0">
        <w:rPr>
          <w:rFonts w:ascii="Times New Roman" w:hAnsi="Times New Roman" w:cs="Times New Roman"/>
        </w:rPr>
        <w:t>—</w:t>
      </w:r>
      <w:r>
        <w:rPr>
          <w:rFonts w:ascii="Times New Roman" w:hAnsi="Times New Roman" w:cs="Times New Roman"/>
        </w:rPr>
        <w:t>right? If their youth pastor tells them how to apply the text, they should be able to see its relevance</w:t>
      </w:r>
      <w:r w:rsidR="00556BC0">
        <w:rPr>
          <w:rFonts w:ascii="Times New Roman" w:hAnsi="Times New Roman" w:cs="Times New Roman"/>
        </w:rPr>
        <w:t>—</w:t>
      </w:r>
      <w:r>
        <w:rPr>
          <w:rFonts w:ascii="Times New Roman" w:hAnsi="Times New Roman" w:cs="Times New Roman"/>
        </w:rPr>
        <w:t xml:space="preserve">right? But in fact, nothing anesthetizes the imagination like </w:t>
      </w:r>
      <w:r w:rsidR="00556BC0">
        <w:rPr>
          <w:rFonts w:ascii="Times New Roman" w:hAnsi="Times New Roman" w:cs="Times New Roman"/>
        </w:rPr>
        <w:t>over-explanation</w:t>
      </w:r>
      <w:r>
        <w:rPr>
          <w:rFonts w:ascii="Times New Roman" w:hAnsi="Times New Roman" w:cs="Times New Roman"/>
        </w:rPr>
        <w:t xml:space="preserve">. Youth ministers </w:t>
      </w:r>
      <w:r w:rsidR="0094723E">
        <w:rPr>
          <w:rFonts w:ascii="Times New Roman" w:hAnsi="Times New Roman" w:cs="Times New Roman"/>
        </w:rPr>
        <w:t>tend to</w:t>
      </w:r>
      <w:r>
        <w:rPr>
          <w:rFonts w:ascii="Times New Roman" w:hAnsi="Times New Roman" w:cs="Times New Roman"/>
        </w:rPr>
        <w:t xml:space="preserve"> smooth out the rough edges </w:t>
      </w:r>
      <w:r w:rsidR="00DF2B60">
        <w:rPr>
          <w:rFonts w:ascii="Times New Roman" w:hAnsi="Times New Roman" w:cs="Times New Roman"/>
        </w:rPr>
        <w:t xml:space="preserve">and fill in the blanks </w:t>
      </w:r>
      <w:r>
        <w:rPr>
          <w:rFonts w:ascii="Times New Roman" w:hAnsi="Times New Roman" w:cs="Times New Roman"/>
        </w:rPr>
        <w:t xml:space="preserve">for students, so that their theology is </w:t>
      </w:r>
      <w:r w:rsidR="00E35F15">
        <w:rPr>
          <w:rFonts w:ascii="Times New Roman" w:hAnsi="Times New Roman" w:cs="Times New Roman"/>
        </w:rPr>
        <w:t>coherent,</w:t>
      </w:r>
      <w:r>
        <w:rPr>
          <w:rFonts w:ascii="Times New Roman" w:hAnsi="Times New Roman" w:cs="Times New Roman"/>
        </w:rPr>
        <w:t xml:space="preserve"> </w:t>
      </w:r>
      <w:r>
        <w:rPr>
          <w:rFonts w:ascii="Times New Roman" w:hAnsi="Times New Roman" w:cs="Times New Roman"/>
        </w:rPr>
        <w:lastRenderedPageBreak/>
        <w:t xml:space="preserve">and all their questions are answered. But </w:t>
      </w:r>
      <w:r w:rsidR="002D77CE">
        <w:rPr>
          <w:rFonts w:ascii="Times New Roman" w:hAnsi="Times New Roman" w:cs="Times New Roman"/>
        </w:rPr>
        <w:t xml:space="preserve">educators do not need to do all the interpretive work for students. In fact, </w:t>
      </w:r>
      <w:r w:rsidR="00747F79">
        <w:rPr>
          <w:rFonts w:ascii="Times New Roman" w:hAnsi="Times New Roman" w:cs="Times New Roman"/>
        </w:rPr>
        <w:t>e</w:t>
      </w:r>
      <w:r w:rsidR="007A4C71">
        <w:rPr>
          <w:rFonts w:ascii="Times New Roman" w:hAnsi="Times New Roman" w:cs="Times New Roman"/>
        </w:rPr>
        <w:t xml:space="preserve">asy answers can cause students to disengage, whereas a difficult question can draw them in for a lifetime of pondering and the insights that arise in the process. </w:t>
      </w:r>
      <w:r w:rsidR="002D0FAF">
        <w:rPr>
          <w:rFonts w:ascii="Times New Roman" w:hAnsi="Times New Roman" w:cs="Times New Roman"/>
        </w:rPr>
        <w:t>Young people do not need to be told what to think; they need to be invited to wonder.</w:t>
      </w:r>
    </w:p>
    <w:p w14:paraId="39E42EA8" w14:textId="31775EA9" w:rsidR="00E35F15" w:rsidRDefault="00E35F15" w:rsidP="00F53E18">
      <w:pPr>
        <w:spacing w:line="480" w:lineRule="auto"/>
        <w:ind w:firstLine="720"/>
        <w:rPr>
          <w:rFonts w:ascii="Times New Roman" w:hAnsi="Times New Roman" w:cs="Times New Roman"/>
        </w:rPr>
      </w:pPr>
      <w:r>
        <w:rPr>
          <w:rFonts w:ascii="Times New Roman" w:hAnsi="Times New Roman" w:cs="Times New Roman"/>
        </w:rPr>
        <w:t>In recent years, there has been a renewed interest in the concept of wonder and its role in learning and education. Wonder is the experience of fascination and amazement with something awe-inspiring, mysterious, or surprising. It involves a desire to engage more deeply with the object of wonder, as well as an awareness of one’s limited understanding.</w:t>
      </w:r>
      <w:r>
        <w:rPr>
          <w:rStyle w:val="FootnoteReference"/>
          <w:rFonts w:ascii="Times New Roman" w:hAnsi="Times New Roman" w:cs="Times New Roman"/>
        </w:rPr>
        <w:footnoteReference w:id="18"/>
      </w:r>
      <w:r>
        <w:rPr>
          <w:rFonts w:ascii="Times New Roman" w:hAnsi="Times New Roman" w:cs="Times New Roman"/>
        </w:rPr>
        <w:t xml:space="preserve"> Wonder is a complex and diffuse concept; as Anders Schinkel summarizes it, “Wonder can take various forms—it can be more o</w:t>
      </w:r>
      <w:r w:rsidR="00652327">
        <w:rPr>
          <w:rFonts w:ascii="Times New Roman" w:hAnsi="Times New Roman" w:cs="Times New Roman"/>
        </w:rPr>
        <w:t>r</w:t>
      </w:r>
      <w:r>
        <w:rPr>
          <w:rFonts w:ascii="Times New Roman" w:hAnsi="Times New Roman" w:cs="Times New Roman"/>
        </w:rPr>
        <w:t xml:space="preserve"> less ‘inquisitive’ (involving a drive to solve one’s puzzlement through understanding and explanation), more or less aesthetic, more or less joyful, more or less unsettling.”</w:t>
      </w:r>
      <w:r>
        <w:rPr>
          <w:rStyle w:val="FootnoteReference"/>
          <w:rFonts w:ascii="Times New Roman" w:hAnsi="Times New Roman" w:cs="Times New Roman"/>
        </w:rPr>
        <w:footnoteReference w:id="19"/>
      </w:r>
      <w:r>
        <w:rPr>
          <w:rFonts w:ascii="Times New Roman" w:hAnsi="Times New Roman" w:cs="Times New Roman"/>
        </w:rPr>
        <w:t xml:space="preserve"> Here I will explore two aspects of wonder that attempt to encapsulate its diversity: wonder is both orientation and disorientation, and it is both cognitive and affective.</w:t>
      </w:r>
    </w:p>
    <w:p w14:paraId="04A24CC7" w14:textId="2328F238" w:rsidR="00E35F15" w:rsidRDefault="00E35F15" w:rsidP="00F53E18">
      <w:pPr>
        <w:spacing w:line="480" w:lineRule="auto"/>
        <w:ind w:firstLine="720"/>
        <w:rPr>
          <w:rFonts w:ascii="Times New Roman" w:hAnsi="Times New Roman" w:cs="Times New Roman"/>
        </w:rPr>
      </w:pPr>
      <w:r>
        <w:rPr>
          <w:rFonts w:ascii="Times New Roman" w:hAnsi="Times New Roman" w:cs="Times New Roman"/>
        </w:rPr>
        <w:t>First, wonder is connected both to pleasant experiences in which one marvels at beauty, order, and perfection—in which one feels a sense of connection with the world or an at-home-ness in it—and to experiences of disorientation or bewilderment, in which those feelings of at-home-ness are turned upside-down.</w:t>
      </w:r>
      <w:r>
        <w:rPr>
          <w:rStyle w:val="FootnoteReference"/>
          <w:rFonts w:ascii="Times New Roman" w:hAnsi="Times New Roman" w:cs="Times New Roman"/>
        </w:rPr>
        <w:footnoteReference w:id="20"/>
      </w:r>
      <w:r>
        <w:rPr>
          <w:rFonts w:ascii="Times New Roman" w:hAnsi="Times New Roman" w:cs="Times New Roman"/>
        </w:rPr>
        <w:t xml:space="preserve"> Wonder is not always pleasant; it can include a sense of fear and dread.</w:t>
      </w:r>
      <w:r>
        <w:rPr>
          <w:rStyle w:val="FootnoteReference"/>
          <w:rFonts w:ascii="Times New Roman" w:hAnsi="Times New Roman" w:cs="Times New Roman"/>
        </w:rPr>
        <w:footnoteReference w:id="21"/>
      </w:r>
      <w:r>
        <w:rPr>
          <w:rFonts w:ascii="Times New Roman" w:hAnsi="Times New Roman" w:cs="Times New Roman"/>
        </w:rPr>
        <w:t xml:space="preserve"> Similarly, Yannis </w:t>
      </w:r>
      <w:proofErr w:type="spellStart"/>
      <w:r>
        <w:rPr>
          <w:rFonts w:ascii="Times New Roman" w:hAnsi="Times New Roman" w:cs="Times New Roman"/>
        </w:rPr>
        <w:t>Hadzigeorgiou</w:t>
      </w:r>
      <w:proofErr w:type="spellEnd"/>
      <w:r>
        <w:rPr>
          <w:rFonts w:ascii="Times New Roman" w:hAnsi="Times New Roman" w:cs="Times New Roman"/>
        </w:rPr>
        <w:t xml:space="preserve"> sees the two faces of wonder as </w:t>
      </w:r>
      <w:proofErr w:type="spellStart"/>
      <w:r w:rsidRPr="00E35F15">
        <w:rPr>
          <w:rFonts w:ascii="Times New Roman" w:hAnsi="Times New Roman" w:cs="Times New Roman"/>
          <w:i/>
        </w:rPr>
        <w:t>thaumazein</w:t>
      </w:r>
      <w:proofErr w:type="spellEnd"/>
      <w:r>
        <w:rPr>
          <w:rFonts w:ascii="Times New Roman" w:hAnsi="Times New Roman" w:cs="Times New Roman"/>
        </w:rPr>
        <w:t xml:space="preserve"> (admiration) and </w:t>
      </w:r>
      <w:proofErr w:type="spellStart"/>
      <w:r w:rsidRPr="00E35F15">
        <w:rPr>
          <w:rFonts w:ascii="Times New Roman" w:hAnsi="Times New Roman" w:cs="Times New Roman"/>
          <w:i/>
        </w:rPr>
        <w:t>aporia</w:t>
      </w:r>
      <w:proofErr w:type="spellEnd"/>
      <w:r>
        <w:rPr>
          <w:rFonts w:ascii="Times New Roman" w:hAnsi="Times New Roman" w:cs="Times New Roman"/>
          <w:i/>
        </w:rPr>
        <w:t xml:space="preserve"> </w:t>
      </w:r>
      <w:r>
        <w:rPr>
          <w:rFonts w:ascii="Times New Roman" w:hAnsi="Times New Roman" w:cs="Times New Roman"/>
        </w:rPr>
        <w:t>(“that is, puzzlement over contradictions, discrepancies, paradoxes”).</w:t>
      </w:r>
      <w:r>
        <w:rPr>
          <w:rStyle w:val="FootnoteReference"/>
          <w:rFonts w:ascii="Times New Roman" w:hAnsi="Times New Roman" w:cs="Times New Roman"/>
        </w:rPr>
        <w:footnoteReference w:id="22"/>
      </w:r>
    </w:p>
    <w:p w14:paraId="74E1196B" w14:textId="1E1799A0" w:rsidR="00E35F15" w:rsidRDefault="00E35F15" w:rsidP="00F53E18">
      <w:pPr>
        <w:spacing w:line="480" w:lineRule="auto"/>
        <w:ind w:firstLine="720"/>
        <w:rPr>
          <w:rFonts w:ascii="Times New Roman" w:hAnsi="Times New Roman" w:cs="Times New Roman"/>
        </w:rPr>
      </w:pPr>
      <w:proofErr w:type="spellStart"/>
      <w:r>
        <w:rPr>
          <w:rFonts w:ascii="Times New Roman" w:hAnsi="Times New Roman" w:cs="Times New Roman"/>
        </w:rPr>
        <w:lastRenderedPageBreak/>
        <w:t>Hadzigeorgiou’s</w:t>
      </w:r>
      <w:proofErr w:type="spellEnd"/>
      <w:r>
        <w:rPr>
          <w:rFonts w:ascii="Times New Roman" w:hAnsi="Times New Roman" w:cs="Times New Roman"/>
        </w:rPr>
        <w:t xml:space="preserve"> conception of wonder as </w:t>
      </w:r>
      <w:proofErr w:type="spellStart"/>
      <w:r>
        <w:rPr>
          <w:rFonts w:ascii="Times New Roman" w:hAnsi="Times New Roman" w:cs="Times New Roman"/>
          <w:i/>
        </w:rPr>
        <w:t>thaumazein</w:t>
      </w:r>
      <w:proofErr w:type="spellEnd"/>
      <w:r>
        <w:rPr>
          <w:rFonts w:ascii="Times New Roman" w:hAnsi="Times New Roman" w:cs="Times New Roman"/>
          <w:i/>
        </w:rPr>
        <w:t xml:space="preserve"> </w:t>
      </w:r>
      <w:r>
        <w:rPr>
          <w:rFonts w:ascii="Times New Roman" w:hAnsi="Times New Roman" w:cs="Times New Roman"/>
        </w:rPr>
        <w:t xml:space="preserve">and </w:t>
      </w:r>
      <w:proofErr w:type="spellStart"/>
      <w:r>
        <w:rPr>
          <w:rFonts w:ascii="Times New Roman" w:hAnsi="Times New Roman" w:cs="Times New Roman"/>
          <w:i/>
        </w:rPr>
        <w:t>aporia</w:t>
      </w:r>
      <w:proofErr w:type="spellEnd"/>
      <w:r>
        <w:rPr>
          <w:rFonts w:ascii="Times New Roman" w:hAnsi="Times New Roman" w:cs="Times New Roman"/>
          <w:i/>
        </w:rPr>
        <w:t xml:space="preserve"> </w:t>
      </w:r>
      <w:r>
        <w:rPr>
          <w:rFonts w:ascii="Times New Roman" w:hAnsi="Times New Roman" w:cs="Times New Roman"/>
        </w:rPr>
        <w:t xml:space="preserve">reflects wonder’s first aspect, orientation and disorientation, and it connects easily to the second: wonder has both cognitive and affective dimensions. One </w:t>
      </w:r>
      <w:r>
        <w:rPr>
          <w:rFonts w:ascii="Times New Roman" w:hAnsi="Times New Roman" w:cs="Times New Roman"/>
          <w:i/>
        </w:rPr>
        <w:t xml:space="preserve">feels </w:t>
      </w:r>
      <w:r>
        <w:rPr>
          <w:rFonts w:ascii="Times New Roman" w:hAnsi="Times New Roman" w:cs="Times New Roman"/>
        </w:rPr>
        <w:t xml:space="preserve">a sense of wonder, and one </w:t>
      </w:r>
      <w:r>
        <w:rPr>
          <w:rFonts w:ascii="Times New Roman" w:hAnsi="Times New Roman" w:cs="Times New Roman"/>
          <w:i/>
        </w:rPr>
        <w:t xml:space="preserve">wonders about </w:t>
      </w:r>
      <w:r w:rsidRPr="00E35F15">
        <w:rPr>
          <w:rFonts w:ascii="Times New Roman" w:hAnsi="Times New Roman" w:cs="Times New Roman"/>
        </w:rPr>
        <w:t>the precipitating experience.</w:t>
      </w:r>
      <w:r>
        <w:rPr>
          <w:rStyle w:val="FootnoteReference"/>
          <w:rFonts w:ascii="Times New Roman" w:hAnsi="Times New Roman" w:cs="Times New Roman"/>
        </w:rPr>
        <w:footnoteReference w:id="23"/>
      </w:r>
      <w:r>
        <w:rPr>
          <w:rFonts w:ascii="Times New Roman" w:hAnsi="Times New Roman" w:cs="Times New Roman"/>
        </w:rPr>
        <w:t xml:space="preserve"> Under this umbrella of wonder’s dual nature as cognition and affect can be included Hebrew Bible scholar William Brown’s understanding of wisdom as </w:t>
      </w:r>
      <w:r>
        <w:rPr>
          <w:rFonts w:ascii="Times New Roman" w:hAnsi="Times New Roman" w:cs="Times New Roman"/>
          <w:i/>
        </w:rPr>
        <w:t xml:space="preserve">awe </w:t>
      </w:r>
      <w:r>
        <w:rPr>
          <w:rFonts w:ascii="Times New Roman" w:hAnsi="Times New Roman" w:cs="Times New Roman"/>
        </w:rPr>
        <w:t xml:space="preserve">and </w:t>
      </w:r>
      <w:r>
        <w:rPr>
          <w:rFonts w:ascii="Times New Roman" w:hAnsi="Times New Roman" w:cs="Times New Roman"/>
          <w:i/>
        </w:rPr>
        <w:t>inquiry,</w:t>
      </w:r>
      <w:r w:rsidRPr="0065246C">
        <w:rPr>
          <w:rStyle w:val="FootnoteReference"/>
          <w:rFonts w:ascii="Times New Roman" w:hAnsi="Times New Roman" w:cs="Times New Roman"/>
        </w:rPr>
        <w:footnoteReference w:id="24"/>
      </w:r>
      <w:r>
        <w:rPr>
          <w:rFonts w:ascii="Times New Roman" w:hAnsi="Times New Roman" w:cs="Times New Roman"/>
          <w:i/>
        </w:rPr>
        <w:t xml:space="preserve"> </w:t>
      </w:r>
      <w:r>
        <w:rPr>
          <w:rFonts w:ascii="Times New Roman" w:hAnsi="Times New Roman" w:cs="Times New Roman"/>
        </w:rPr>
        <w:t xml:space="preserve">as well as Marina </w:t>
      </w:r>
      <w:proofErr w:type="spellStart"/>
      <w:r>
        <w:rPr>
          <w:rFonts w:ascii="Times New Roman" w:hAnsi="Times New Roman" w:cs="Times New Roman"/>
        </w:rPr>
        <w:t>Bazhydai</w:t>
      </w:r>
      <w:proofErr w:type="spellEnd"/>
      <w:r>
        <w:rPr>
          <w:rFonts w:ascii="Times New Roman" w:hAnsi="Times New Roman" w:cs="Times New Roman"/>
        </w:rPr>
        <w:t xml:space="preserve"> and Gert Westermann’s description of </w:t>
      </w:r>
      <w:r>
        <w:rPr>
          <w:rFonts w:ascii="Times New Roman" w:hAnsi="Times New Roman" w:cs="Times New Roman"/>
          <w:i/>
        </w:rPr>
        <w:t xml:space="preserve">passive wonder </w:t>
      </w:r>
      <w:r>
        <w:rPr>
          <w:rFonts w:ascii="Times New Roman" w:hAnsi="Times New Roman" w:cs="Times New Roman"/>
        </w:rPr>
        <w:t xml:space="preserve">(“wondering </w:t>
      </w:r>
      <w:r>
        <w:rPr>
          <w:rFonts w:ascii="Times New Roman" w:hAnsi="Times New Roman" w:cs="Times New Roman"/>
          <w:i/>
        </w:rPr>
        <w:t>at</w:t>
      </w:r>
      <w:r>
        <w:rPr>
          <w:rFonts w:ascii="Times New Roman" w:hAnsi="Times New Roman" w:cs="Times New Roman"/>
        </w:rPr>
        <w:t xml:space="preserve">,” more akin to awe) and </w:t>
      </w:r>
      <w:r>
        <w:rPr>
          <w:rFonts w:ascii="Times New Roman" w:hAnsi="Times New Roman" w:cs="Times New Roman"/>
          <w:i/>
        </w:rPr>
        <w:t xml:space="preserve">active wonder </w:t>
      </w:r>
      <w:r>
        <w:rPr>
          <w:rFonts w:ascii="Times New Roman" w:hAnsi="Times New Roman" w:cs="Times New Roman"/>
        </w:rPr>
        <w:t xml:space="preserve">(“wondering </w:t>
      </w:r>
      <w:r>
        <w:rPr>
          <w:rFonts w:ascii="Times New Roman" w:hAnsi="Times New Roman" w:cs="Times New Roman"/>
          <w:i/>
        </w:rPr>
        <w:t>about</w:t>
      </w:r>
      <w:r>
        <w:rPr>
          <w:rFonts w:ascii="Times New Roman" w:hAnsi="Times New Roman" w:cs="Times New Roman"/>
        </w:rPr>
        <w:t>,” more akin to curiosity</w:t>
      </w:r>
      <w:r w:rsidR="00AB7887">
        <w:rPr>
          <w:rFonts w:ascii="Times New Roman" w:hAnsi="Times New Roman" w:cs="Times New Roman"/>
        </w:rPr>
        <w:t>)</w:t>
      </w:r>
      <w:r>
        <w:rPr>
          <w:rFonts w:ascii="Times New Roman" w:hAnsi="Times New Roman" w:cs="Times New Roman"/>
        </w:rPr>
        <w:t>.</w:t>
      </w:r>
      <w:r>
        <w:rPr>
          <w:rStyle w:val="FootnoteReference"/>
          <w:rFonts w:ascii="Times New Roman" w:hAnsi="Times New Roman" w:cs="Times New Roman"/>
        </w:rPr>
        <w:footnoteReference w:id="25"/>
      </w:r>
      <w:r w:rsidR="0065246C">
        <w:rPr>
          <w:rFonts w:ascii="Times New Roman" w:hAnsi="Times New Roman" w:cs="Times New Roman"/>
        </w:rPr>
        <w:t xml:space="preserve"> </w:t>
      </w:r>
    </w:p>
    <w:p w14:paraId="49B78B0E" w14:textId="0B84210E" w:rsidR="0065246C" w:rsidRPr="00804B87" w:rsidRDefault="0065246C" w:rsidP="00F53E18">
      <w:pPr>
        <w:spacing w:line="480" w:lineRule="auto"/>
        <w:ind w:firstLine="720"/>
        <w:rPr>
          <w:rFonts w:ascii="Times New Roman" w:hAnsi="Times New Roman" w:cs="Times New Roman"/>
          <w:b/>
        </w:rPr>
      </w:pPr>
      <w:r>
        <w:rPr>
          <w:rFonts w:ascii="Times New Roman" w:hAnsi="Times New Roman" w:cs="Times New Roman"/>
        </w:rPr>
        <w:t>What unifies th</w:t>
      </w:r>
      <w:r w:rsidR="0079149D">
        <w:rPr>
          <w:rFonts w:ascii="Times New Roman" w:hAnsi="Times New Roman" w:cs="Times New Roman"/>
        </w:rPr>
        <w:t>ese</w:t>
      </w:r>
      <w:r>
        <w:rPr>
          <w:rFonts w:ascii="Times New Roman" w:hAnsi="Times New Roman" w:cs="Times New Roman"/>
        </w:rPr>
        <w:t xml:space="preserve"> diverse aspects of wonder is that, whether one is experiencing joy or fear, marvel or perplexity, wonder evokes a desire for understanding that draws one closer to the object of wonder to engage with it more deeply.</w:t>
      </w:r>
      <w:r>
        <w:rPr>
          <w:rStyle w:val="FootnoteReference"/>
          <w:rFonts w:ascii="Times New Roman" w:hAnsi="Times New Roman" w:cs="Times New Roman"/>
        </w:rPr>
        <w:footnoteReference w:id="26"/>
      </w:r>
      <w:r>
        <w:rPr>
          <w:rFonts w:ascii="Times New Roman" w:hAnsi="Times New Roman" w:cs="Times New Roman"/>
        </w:rPr>
        <w:t xml:space="preserve"> </w:t>
      </w:r>
      <w:r w:rsidR="00A5064D">
        <w:rPr>
          <w:rFonts w:ascii="Times New Roman" w:hAnsi="Times New Roman" w:cs="Times New Roman"/>
        </w:rPr>
        <w:t>If educators want students to be engaged with the material, the takeaway model is actually counterproductive to that goal; instead, they need to cultivate in students a sense of wonder and a desire to know more.</w:t>
      </w:r>
    </w:p>
    <w:p w14:paraId="6B0D0971" w14:textId="21A2B0A4" w:rsidR="00DA0050" w:rsidRPr="00DA0050" w:rsidRDefault="00DA0050" w:rsidP="00F53E18">
      <w:pPr>
        <w:spacing w:line="480" w:lineRule="auto"/>
        <w:jc w:val="center"/>
        <w:rPr>
          <w:rFonts w:ascii="Times New Roman" w:hAnsi="Times New Roman" w:cs="Times New Roman"/>
          <w:b/>
        </w:rPr>
      </w:pPr>
      <w:r>
        <w:rPr>
          <w:rFonts w:ascii="Times New Roman" w:hAnsi="Times New Roman" w:cs="Times New Roman"/>
          <w:b/>
        </w:rPr>
        <w:t>Reimagining the Takeaway</w:t>
      </w:r>
    </w:p>
    <w:p w14:paraId="265BA32E" w14:textId="056C863F" w:rsidR="004D1C02" w:rsidRDefault="00FD4987" w:rsidP="00F53E18">
      <w:pPr>
        <w:spacing w:line="480" w:lineRule="auto"/>
        <w:ind w:firstLine="720"/>
        <w:rPr>
          <w:rFonts w:ascii="Times New Roman" w:hAnsi="Times New Roman" w:cs="Times New Roman"/>
        </w:rPr>
      </w:pPr>
      <w:r>
        <w:rPr>
          <w:rFonts w:ascii="Times New Roman" w:hAnsi="Times New Roman" w:cs="Times New Roman"/>
        </w:rPr>
        <w:t xml:space="preserve">How, then, can educators conclude a lesson so that young people </w:t>
      </w:r>
      <w:r w:rsidR="00804B87">
        <w:rPr>
          <w:rFonts w:ascii="Times New Roman" w:hAnsi="Times New Roman" w:cs="Times New Roman"/>
        </w:rPr>
        <w:t xml:space="preserve">are drawn more deeply into it and </w:t>
      </w:r>
      <w:r>
        <w:rPr>
          <w:rFonts w:ascii="Times New Roman" w:hAnsi="Times New Roman" w:cs="Times New Roman"/>
        </w:rPr>
        <w:t xml:space="preserve">continue to remember and engage with it in the days, weeks, and even years to come? I suggest reimagining the takeaway as </w:t>
      </w:r>
      <w:r w:rsidR="00804B87">
        <w:rPr>
          <w:rFonts w:ascii="Times New Roman" w:hAnsi="Times New Roman" w:cs="Times New Roman"/>
        </w:rPr>
        <w:t xml:space="preserve">something open, rather than closed, and generative, rather than definitive; as a conclusion that invites wonder and imagination. </w:t>
      </w:r>
      <w:r w:rsidR="00374CDE">
        <w:rPr>
          <w:rFonts w:ascii="Times New Roman" w:hAnsi="Times New Roman" w:cs="Times New Roman"/>
        </w:rPr>
        <w:t xml:space="preserve">A traditional </w:t>
      </w:r>
      <w:r w:rsidR="002D77CE">
        <w:rPr>
          <w:rFonts w:ascii="Times New Roman" w:hAnsi="Times New Roman" w:cs="Times New Roman"/>
        </w:rPr>
        <w:t xml:space="preserve">takeaway </w:t>
      </w:r>
      <w:r w:rsidR="00775570">
        <w:rPr>
          <w:rFonts w:ascii="Times New Roman" w:hAnsi="Times New Roman" w:cs="Times New Roman"/>
        </w:rPr>
        <w:t>wraps</w:t>
      </w:r>
      <w:r w:rsidR="002D77CE">
        <w:rPr>
          <w:rFonts w:ascii="Times New Roman" w:hAnsi="Times New Roman" w:cs="Times New Roman"/>
        </w:rPr>
        <w:t xml:space="preserve"> up the lesson neatly with a bow on top; a takeaway reimagined through the lens of wonder leaves some loose ends so that students can, and must, do their own synthesizing work. </w:t>
      </w:r>
      <w:r w:rsidR="00804B87">
        <w:rPr>
          <w:rFonts w:ascii="Times New Roman" w:hAnsi="Times New Roman" w:cs="Times New Roman"/>
        </w:rPr>
        <w:t xml:space="preserve">I suggest </w:t>
      </w:r>
      <w:r w:rsidR="00804B87">
        <w:rPr>
          <w:rFonts w:ascii="Times New Roman" w:hAnsi="Times New Roman" w:cs="Times New Roman"/>
        </w:rPr>
        <w:lastRenderedPageBreak/>
        <w:t>four categories of “takeaways” that provoke wonder and invite students to continue to engage the subject after the lesson ends.</w:t>
      </w:r>
    </w:p>
    <w:p w14:paraId="32935250" w14:textId="2B7E0019" w:rsidR="00804B87" w:rsidRDefault="00804B87" w:rsidP="00F53E18">
      <w:pPr>
        <w:spacing w:line="480" w:lineRule="auto"/>
        <w:jc w:val="center"/>
        <w:rPr>
          <w:rFonts w:ascii="Times New Roman" w:hAnsi="Times New Roman" w:cs="Times New Roman"/>
          <w:i/>
        </w:rPr>
      </w:pPr>
      <w:r>
        <w:rPr>
          <w:rFonts w:ascii="Times New Roman" w:hAnsi="Times New Roman" w:cs="Times New Roman"/>
          <w:i/>
        </w:rPr>
        <w:t>A Sensory Experience</w:t>
      </w:r>
    </w:p>
    <w:p w14:paraId="1BD68DD6" w14:textId="5C04B7E2" w:rsidR="00804B87" w:rsidRDefault="00804B87" w:rsidP="00F53E18">
      <w:pPr>
        <w:spacing w:line="480" w:lineRule="auto"/>
        <w:rPr>
          <w:rFonts w:ascii="Times New Roman" w:hAnsi="Times New Roman" w:cs="Times New Roman"/>
        </w:rPr>
      </w:pPr>
      <w:r>
        <w:rPr>
          <w:rFonts w:ascii="Times New Roman" w:hAnsi="Times New Roman" w:cs="Times New Roman"/>
        </w:rPr>
        <w:tab/>
        <w:t xml:space="preserve">As an experience that often takes one by surprise, a sense of wonder—particularly passive wonder—can be difficult to create. However, educators can create conditions that make it possible by facilitating encounters in which students might experience wonder. Engaging in a sensory experience—seeing an image, hearing music, feeling textures—and practicing attentiveness to that experience helps make space for wonder. </w:t>
      </w:r>
      <w:proofErr w:type="spellStart"/>
      <w:r>
        <w:rPr>
          <w:rFonts w:ascii="Times New Roman" w:hAnsi="Times New Roman" w:cs="Times New Roman"/>
        </w:rPr>
        <w:t>Hadzigeorgiou</w:t>
      </w:r>
      <w:proofErr w:type="spellEnd"/>
      <w:r>
        <w:rPr>
          <w:rFonts w:ascii="Times New Roman" w:hAnsi="Times New Roman" w:cs="Times New Roman"/>
        </w:rPr>
        <w:t xml:space="preserve"> suggests that one educational implication of wonder is “starting with the ‘richness’ o</w:t>
      </w:r>
      <w:r w:rsidR="00FD7906">
        <w:rPr>
          <w:rFonts w:ascii="Times New Roman" w:hAnsi="Times New Roman" w:cs="Times New Roman"/>
        </w:rPr>
        <w:t>f</w:t>
      </w:r>
      <w:r>
        <w:rPr>
          <w:rFonts w:ascii="Times New Roman" w:hAnsi="Times New Roman" w:cs="Times New Roman"/>
        </w:rPr>
        <w:t xml:space="preserve"> an object o</w:t>
      </w:r>
      <w:r w:rsidR="00FD7906">
        <w:rPr>
          <w:rFonts w:ascii="Times New Roman" w:hAnsi="Times New Roman" w:cs="Times New Roman"/>
        </w:rPr>
        <w:t>r</w:t>
      </w:r>
      <w:r>
        <w:rPr>
          <w:rFonts w:ascii="Times New Roman" w:hAnsi="Times New Roman" w:cs="Times New Roman"/>
        </w:rPr>
        <w:t xml:space="preserve"> phenomenon (e.g. a tree leaf, a waterfall, a flash of lightning) through attentive observation…and ‘letting them speak to us’ (i.e. moving away from cognitivism).”</w:t>
      </w:r>
      <w:r>
        <w:rPr>
          <w:rStyle w:val="FootnoteReference"/>
          <w:rFonts w:ascii="Times New Roman" w:hAnsi="Times New Roman" w:cs="Times New Roman"/>
        </w:rPr>
        <w:footnoteReference w:id="27"/>
      </w:r>
      <w:r>
        <w:rPr>
          <w:rFonts w:ascii="Times New Roman" w:hAnsi="Times New Roman" w:cs="Times New Roman"/>
        </w:rPr>
        <w:t xml:space="preserve"> Laura </w:t>
      </w:r>
      <w:proofErr w:type="spellStart"/>
      <w:r>
        <w:rPr>
          <w:rFonts w:ascii="Times New Roman" w:hAnsi="Times New Roman" w:cs="Times New Roman"/>
        </w:rPr>
        <w:t>D’Olimpio</w:t>
      </w:r>
      <w:proofErr w:type="spellEnd"/>
      <w:r>
        <w:rPr>
          <w:rFonts w:ascii="Times New Roman" w:hAnsi="Times New Roman" w:cs="Times New Roman"/>
        </w:rPr>
        <w:t xml:space="preserve"> suggests that the arts can provide an opportunity for students to slow down and see things differently, helping to cultivate deep contemplative wonder.</w:t>
      </w:r>
      <w:r>
        <w:rPr>
          <w:rStyle w:val="FootnoteReference"/>
          <w:rFonts w:ascii="Times New Roman" w:hAnsi="Times New Roman" w:cs="Times New Roman"/>
        </w:rPr>
        <w:footnoteReference w:id="28"/>
      </w:r>
    </w:p>
    <w:p w14:paraId="213C9342" w14:textId="4EA2657B" w:rsidR="00804B87" w:rsidRPr="009A1FBA" w:rsidRDefault="00F86687" w:rsidP="00F53E18">
      <w:pPr>
        <w:spacing w:line="480" w:lineRule="auto"/>
        <w:rPr>
          <w:rFonts w:ascii="Times New Roman" w:hAnsi="Times New Roman" w:cs="Times New Roman"/>
        </w:rPr>
      </w:pPr>
      <w:r>
        <w:rPr>
          <w:rFonts w:ascii="Times New Roman" w:hAnsi="Times New Roman" w:cs="Times New Roman"/>
        </w:rPr>
        <w:tab/>
        <w:t xml:space="preserve">Concluding a lesson with a sensory experience is helpful for two reasons. First, it allows students to “take away” their own experiential encounter with the material, rather than the educator’s. Students will remember what they </w:t>
      </w:r>
      <w:r>
        <w:rPr>
          <w:rFonts w:ascii="Times New Roman" w:hAnsi="Times New Roman" w:cs="Times New Roman"/>
          <w:i/>
        </w:rPr>
        <w:t xml:space="preserve">did, </w:t>
      </w:r>
      <w:r>
        <w:rPr>
          <w:rFonts w:ascii="Times New Roman" w:hAnsi="Times New Roman" w:cs="Times New Roman"/>
        </w:rPr>
        <w:t xml:space="preserve">not what the educator </w:t>
      </w:r>
      <w:r>
        <w:rPr>
          <w:rFonts w:ascii="Times New Roman" w:hAnsi="Times New Roman" w:cs="Times New Roman"/>
          <w:i/>
        </w:rPr>
        <w:t xml:space="preserve">said. </w:t>
      </w:r>
      <w:r>
        <w:rPr>
          <w:rFonts w:ascii="Times New Roman" w:hAnsi="Times New Roman" w:cs="Times New Roman"/>
        </w:rPr>
        <w:t>Second, it moves the locus of learning from the brain to the body. Even if the mind is tuning out the educator’s words at the end of the lesson, a sensory experience reaches beyond conscious cognition.</w:t>
      </w:r>
      <w:r w:rsidR="009A1FBA">
        <w:rPr>
          <w:rStyle w:val="FootnoteReference"/>
          <w:rFonts w:ascii="Times New Roman" w:hAnsi="Times New Roman" w:cs="Times New Roman"/>
        </w:rPr>
        <w:footnoteReference w:id="29"/>
      </w:r>
      <w:r w:rsidR="009A1FBA">
        <w:rPr>
          <w:rFonts w:ascii="Times New Roman" w:hAnsi="Times New Roman" w:cs="Times New Roman"/>
        </w:rPr>
        <w:t xml:space="preserve"> Jerome Berryman, creator of </w:t>
      </w:r>
      <w:r w:rsidR="009A1FBA">
        <w:rPr>
          <w:rFonts w:ascii="Times New Roman" w:hAnsi="Times New Roman" w:cs="Times New Roman"/>
          <w:i/>
        </w:rPr>
        <w:t xml:space="preserve">Godly Play, </w:t>
      </w:r>
      <w:r w:rsidR="009A1FBA">
        <w:rPr>
          <w:rFonts w:ascii="Times New Roman" w:hAnsi="Times New Roman" w:cs="Times New Roman"/>
        </w:rPr>
        <w:t xml:space="preserve">reflects on children’s experience of play with the objects in his parable boxes. “I wonder what they are thinking,” Berryman muses. “Perhaps they </w:t>
      </w:r>
      <w:r w:rsidR="009A1FBA">
        <w:rPr>
          <w:rFonts w:ascii="Times New Roman" w:hAnsi="Times New Roman" w:cs="Times New Roman"/>
        </w:rPr>
        <w:lastRenderedPageBreak/>
        <w:t>are not thinking anything with their conscious minds. Perhaps they are thinking with their hands.”</w:t>
      </w:r>
      <w:r w:rsidR="009A1FBA">
        <w:rPr>
          <w:rStyle w:val="FootnoteReference"/>
          <w:rFonts w:ascii="Times New Roman" w:hAnsi="Times New Roman" w:cs="Times New Roman"/>
        </w:rPr>
        <w:footnoteReference w:id="30"/>
      </w:r>
      <w:r w:rsidR="009A1FBA">
        <w:rPr>
          <w:rFonts w:ascii="Times New Roman" w:hAnsi="Times New Roman" w:cs="Times New Roman"/>
        </w:rPr>
        <w:t xml:space="preserve"> What if educators left a takeaway, not for students’ minds, but for their hands, eyes, or ears? </w:t>
      </w:r>
    </w:p>
    <w:p w14:paraId="3838DD47" w14:textId="3BC6CE47" w:rsidR="002D77CE" w:rsidRPr="002D77CE" w:rsidRDefault="002D77CE" w:rsidP="00F53E18">
      <w:pPr>
        <w:spacing w:line="480" w:lineRule="auto"/>
        <w:rPr>
          <w:rFonts w:ascii="Times New Roman" w:hAnsi="Times New Roman" w:cs="Times New Roman"/>
        </w:rPr>
      </w:pPr>
      <w:r>
        <w:rPr>
          <w:rFonts w:ascii="Times New Roman" w:hAnsi="Times New Roman" w:cs="Times New Roman"/>
        </w:rPr>
        <w:tab/>
        <w:t xml:space="preserve">Concluding a lesson with a sensory experience might look like practicing </w:t>
      </w:r>
      <w:proofErr w:type="spellStart"/>
      <w:r>
        <w:rPr>
          <w:rFonts w:ascii="Times New Roman" w:hAnsi="Times New Roman" w:cs="Times New Roman"/>
          <w:i/>
        </w:rPr>
        <w:t>visio</w:t>
      </w:r>
      <w:proofErr w:type="spellEnd"/>
      <w:r>
        <w:rPr>
          <w:rFonts w:ascii="Times New Roman" w:hAnsi="Times New Roman" w:cs="Times New Roman"/>
          <w:i/>
        </w:rPr>
        <w:t xml:space="preserve"> </w:t>
      </w:r>
      <w:proofErr w:type="spellStart"/>
      <w:r>
        <w:rPr>
          <w:rFonts w:ascii="Times New Roman" w:hAnsi="Times New Roman" w:cs="Times New Roman"/>
          <w:i/>
        </w:rPr>
        <w:t>divina</w:t>
      </w:r>
      <w:proofErr w:type="spellEnd"/>
      <w:r>
        <w:rPr>
          <w:rFonts w:ascii="Times New Roman" w:hAnsi="Times New Roman" w:cs="Times New Roman"/>
          <w:i/>
        </w:rPr>
        <w:t>—</w:t>
      </w:r>
      <w:r>
        <w:rPr>
          <w:rFonts w:ascii="Times New Roman" w:hAnsi="Times New Roman" w:cs="Times New Roman"/>
        </w:rPr>
        <w:t>a prayerful and meditative encounter with an image that represents the focus text or concept—or listening to a piece of music. Or perhaps, in the last few minutes of the lesson, students could be given a lesson-related textured object to hold and feel: water, dirt, a rock, a coin. If there are physical motions described in the text, students could replicate those motions with their own bodies, inscribing the experience in their muscle memory. In short, any sensory experience suggested by, or representing, the text could become a meaningful takeaway</w:t>
      </w:r>
      <w:r w:rsidR="00F86687">
        <w:rPr>
          <w:rFonts w:ascii="Times New Roman" w:hAnsi="Times New Roman" w:cs="Times New Roman"/>
        </w:rPr>
        <w:t>: “As you leave today, the one thing I want you to remember is how the water felt on your hand.”</w:t>
      </w:r>
    </w:p>
    <w:p w14:paraId="2D035251" w14:textId="77777777" w:rsidR="00110C6B" w:rsidRDefault="00804B87" w:rsidP="00F53E18">
      <w:pPr>
        <w:spacing w:line="480" w:lineRule="auto"/>
        <w:jc w:val="center"/>
        <w:rPr>
          <w:rFonts w:ascii="Times New Roman" w:hAnsi="Times New Roman" w:cs="Times New Roman"/>
          <w:i/>
        </w:rPr>
      </w:pPr>
      <w:r>
        <w:rPr>
          <w:rFonts w:ascii="Times New Roman" w:hAnsi="Times New Roman" w:cs="Times New Roman"/>
          <w:i/>
        </w:rPr>
        <w:t>A Question</w:t>
      </w:r>
    </w:p>
    <w:p w14:paraId="02CF96A8" w14:textId="113C8D65" w:rsidR="00804B87" w:rsidRPr="00110C6B" w:rsidRDefault="00804B87" w:rsidP="00F53E18">
      <w:pPr>
        <w:spacing w:line="480" w:lineRule="auto"/>
        <w:rPr>
          <w:rFonts w:ascii="Times New Roman" w:hAnsi="Times New Roman" w:cs="Times New Roman"/>
          <w:i/>
        </w:rPr>
      </w:pPr>
      <w:r>
        <w:rPr>
          <w:rFonts w:ascii="Times New Roman" w:hAnsi="Times New Roman" w:cs="Times New Roman"/>
        </w:rPr>
        <w:tab/>
        <w:t>A second possibility for a reimagined takeaway is to conclude by posing a question</w:t>
      </w:r>
      <w:r w:rsidR="00FD7906">
        <w:rPr>
          <w:rFonts w:ascii="Times New Roman" w:hAnsi="Times New Roman" w:cs="Times New Roman"/>
        </w:rPr>
        <w:t xml:space="preserve"> that can keep students pondering as they leave the classroom</w:t>
      </w:r>
      <w:r>
        <w:rPr>
          <w:rFonts w:ascii="Times New Roman" w:hAnsi="Times New Roman" w:cs="Times New Roman"/>
        </w:rPr>
        <w:t xml:space="preserve">. Not all questions need to be answered by the teacher or discussed in small groups; ending a lesson with an imaginative, rhetorical, or otherwise unanswered question is a powerful way to engage the more cognitive side of wonder. If taking this approach, educators may be tempted to conclude with an application question: “How can you offer grace to someone this week?” However, as the steady diet of youth curricula, students’ familiarity with application questions does not spark wonder. For a question to have the most impact, I suggest </w:t>
      </w:r>
      <w:r w:rsidR="003453DC">
        <w:rPr>
          <w:rFonts w:ascii="Times New Roman" w:hAnsi="Times New Roman" w:cs="Times New Roman"/>
        </w:rPr>
        <w:t>imaginative or tangential questions</w:t>
      </w:r>
      <w:r w:rsidR="00A05205">
        <w:rPr>
          <w:rFonts w:ascii="Times New Roman" w:hAnsi="Times New Roman" w:cs="Times New Roman"/>
        </w:rPr>
        <w:t>.</w:t>
      </w:r>
      <w:r w:rsidR="00837661">
        <w:rPr>
          <w:rFonts w:ascii="Times New Roman" w:hAnsi="Times New Roman" w:cs="Times New Roman"/>
        </w:rPr>
        <w:t xml:space="preserve"> </w:t>
      </w:r>
      <w:r>
        <w:rPr>
          <w:rFonts w:ascii="Times New Roman" w:hAnsi="Times New Roman" w:cs="Times New Roman"/>
        </w:rPr>
        <w:t>I will look at the story of Jesus saving a woman from a mob in John 8 to illustrate these different types of questions.</w:t>
      </w:r>
    </w:p>
    <w:p w14:paraId="44334FA4" w14:textId="64AC96E0" w:rsidR="00804B87" w:rsidRDefault="00804B87" w:rsidP="00F53E18">
      <w:pPr>
        <w:spacing w:line="480" w:lineRule="auto"/>
        <w:ind w:firstLine="720"/>
        <w:rPr>
          <w:rFonts w:ascii="Times New Roman" w:hAnsi="Times New Roman" w:cs="Times New Roman"/>
        </w:rPr>
      </w:pPr>
      <w:r>
        <w:rPr>
          <w:rFonts w:ascii="Times New Roman" w:hAnsi="Times New Roman" w:cs="Times New Roman"/>
        </w:rPr>
        <w:lastRenderedPageBreak/>
        <w:t xml:space="preserve">An imaginative question might ask about something that is not in the text: an omission in the text (“What was Jesus writing in the sand?”), a contrary-to-fact scenario (“How would this story be different if the Pharisees had brought the man instead?”) or what might have happened afterward (“Where did the woman go after she left?”). </w:t>
      </w:r>
      <w:r w:rsidR="001F6B99">
        <w:rPr>
          <w:rFonts w:ascii="Times New Roman" w:hAnsi="Times New Roman" w:cs="Times New Roman"/>
        </w:rPr>
        <w:t>At first blush, imaginative questions may seem like a fruitless exercise; what do students gain from pondering unanswerable questions and hypothetical scenarios? First, such questions can lead to important personal reflection and application in a more indirect way than typical application questions. Considering a question like “Where did the woman go after she left?” may help students reflect on their own encounters with Jesus and the transformation that resulted, or to consider the next steps they need to take in their spiritual life. Second, even if a given question does not lead to an immediately applicable insight, it is still cultivating the capacity for wonder and theological imagination. It is training students in certain habits and ways of thinking, even if each individual thought does not yield a quantifiable product.</w:t>
      </w:r>
    </w:p>
    <w:p w14:paraId="7E3FA5C1" w14:textId="5F49FA54" w:rsidR="00804B87" w:rsidRPr="00804B87" w:rsidRDefault="00804B87" w:rsidP="00F53E18">
      <w:pPr>
        <w:spacing w:line="480" w:lineRule="auto"/>
        <w:ind w:firstLine="720"/>
        <w:rPr>
          <w:rFonts w:ascii="Times New Roman" w:hAnsi="Times New Roman" w:cs="Times New Roman"/>
        </w:rPr>
      </w:pPr>
      <w:r>
        <w:rPr>
          <w:rFonts w:ascii="Times New Roman" w:hAnsi="Times New Roman" w:cs="Times New Roman"/>
        </w:rPr>
        <w:t>Tangential questions</w:t>
      </w:r>
      <w:r w:rsidR="00837661">
        <w:rPr>
          <w:rFonts w:ascii="Times New Roman" w:hAnsi="Times New Roman" w:cs="Times New Roman"/>
        </w:rPr>
        <w:t>, which may also be imaginative,</w:t>
      </w:r>
      <w:r>
        <w:rPr>
          <w:rFonts w:ascii="Times New Roman" w:hAnsi="Times New Roman" w:cs="Times New Roman"/>
        </w:rPr>
        <w:t xml:space="preserve"> introduce an element of surprise by asking about an aspect of the text</w:t>
      </w:r>
      <w:r w:rsidR="00FD7906">
        <w:rPr>
          <w:rFonts w:ascii="Times New Roman" w:hAnsi="Times New Roman" w:cs="Times New Roman"/>
        </w:rPr>
        <w:t xml:space="preserve"> or theme</w:t>
      </w:r>
      <w:r>
        <w:rPr>
          <w:rFonts w:ascii="Times New Roman" w:hAnsi="Times New Roman" w:cs="Times New Roman"/>
        </w:rPr>
        <w:t xml:space="preserve"> that was </w:t>
      </w:r>
      <w:r>
        <w:rPr>
          <w:rFonts w:ascii="Times New Roman" w:hAnsi="Times New Roman" w:cs="Times New Roman"/>
          <w:i/>
        </w:rPr>
        <w:t xml:space="preserve">not </w:t>
      </w:r>
      <w:r>
        <w:rPr>
          <w:rFonts w:ascii="Times New Roman" w:hAnsi="Times New Roman" w:cs="Times New Roman"/>
        </w:rPr>
        <w:t xml:space="preserve">the focus of the lesson and may, at first glance, seem </w:t>
      </w:r>
      <w:r w:rsidR="00FD7906">
        <w:rPr>
          <w:rFonts w:ascii="Times New Roman" w:hAnsi="Times New Roman" w:cs="Times New Roman"/>
        </w:rPr>
        <w:t>unrelated</w:t>
      </w:r>
      <w:r>
        <w:rPr>
          <w:rFonts w:ascii="Times New Roman" w:hAnsi="Times New Roman" w:cs="Times New Roman"/>
        </w:rPr>
        <w:t xml:space="preserve">. Thus, instead of hammering a point home the way a takeaway does, a tangential question allows students to take a mental break from the primary material and approach it from a different angle. </w:t>
      </w:r>
      <w:r w:rsidR="00837661">
        <w:rPr>
          <w:rFonts w:ascii="Times New Roman" w:hAnsi="Times New Roman" w:cs="Times New Roman"/>
        </w:rPr>
        <w:t>For example, if the lesson centers around the concept of grace, the educator might end by saying</w:t>
      </w:r>
      <w:r w:rsidR="00FD7906">
        <w:rPr>
          <w:rFonts w:ascii="Times New Roman" w:hAnsi="Times New Roman" w:cs="Times New Roman"/>
        </w:rPr>
        <w:t xml:space="preserve"> something like</w:t>
      </w:r>
      <w:r w:rsidR="00837661">
        <w:rPr>
          <w:rFonts w:ascii="Times New Roman" w:hAnsi="Times New Roman" w:cs="Times New Roman"/>
        </w:rPr>
        <w:t xml:space="preserve">, “As the only one without sin, Jesus was the only one who could condemn the woman. But he didn’t. He offered grace instead. </w:t>
      </w:r>
      <w:r w:rsidR="00FD7906">
        <w:rPr>
          <w:rFonts w:ascii="Times New Roman" w:hAnsi="Times New Roman" w:cs="Times New Roman"/>
        </w:rPr>
        <w:t xml:space="preserve">So, as you leave today, I want you to ask yourself: What circumstances in this woman’s life led her to end up with this guy?” The question is unexpected, because it is not immediately apparent that it relates to the lesson’s theme of grace. However, in the process of pondering this question, </w:t>
      </w:r>
      <w:r w:rsidR="00FD7906">
        <w:rPr>
          <w:rFonts w:ascii="Times New Roman" w:hAnsi="Times New Roman" w:cs="Times New Roman"/>
        </w:rPr>
        <w:lastRenderedPageBreak/>
        <w:t>students are practicing empathy, a skill which makes it more likely that they will offer grace to others.</w:t>
      </w:r>
    </w:p>
    <w:p w14:paraId="6B7200F2" w14:textId="608AEFD9" w:rsidR="003F29BE" w:rsidRPr="00D13509" w:rsidRDefault="00804B87" w:rsidP="00D13509">
      <w:pPr>
        <w:spacing w:line="480" w:lineRule="auto"/>
        <w:ind w:firstLine="720"/>
        <w:rPr>
          <w:rFonts w:ascii="Times New Roman" w:hAnsi="Times New Roman" w:cs="Times New Roman"/>
          <w:highlight w:val="yellow"/>
        </w:rPr>
      </w:pPr>
      <w:r w:rsidRPr="00D13509">
        <w:rPr>
          <w:rFonts w:ascii="Times New Roman" w:hAnsi="Times New Roman" w:cs="Times New Roman"/>
        </w:rPr>
        <w:t>In addition to posing a question to the students, the educator can conclude a lesson by asking students to pose their own questions about the lesson</w:t>
      </w:r>
      <w:r w:rsidR="00860686">
        <w:rPr>
          <w:rFonts w:ascii="Times New Roman" w:hAnsi="Times New Roman" w:cs="Times New Roman"/>
        </w:rPr>
        <w:t xml:space="preserve"> as their takeaway</w:t>
      </w:r>
      <w:r w:rsidR="00D13509">
        <w:rPr>
          <w:rFonts w:ascii="Times New Roman" w:hAnsi="Times New Roman" w:cs="Times New Roman"/>
        </w:rPr>
        <w:t xml:space="preserve">. </w:t>
      </w:r>
      <w:r w:rsidR="003F29BE">
        <w:rPr>
          <w:rFonts w:ascii="Times New Roman" w:hAnsi="Times New Roman" w:cs="Times New Roman"/>
        </w:rPr>
        <w:t xml:space="preserve">Asking </w:t>
      </w:r>
      <w:r w:rsidR="00860686">
        <w:rPr>
          <w:rFonts w:ascii="Times New Roman" w:hAnsi="Times New Roman" w:cs="Times New Roman"/>
        </w:rPr>
        <w:t xml:space="preserve">good </w:t>
      </w:r>
      <w:r w:rsidR="003F29BE">
        <w:rPr>
          <w:rFonts w:ascii="Times New Roman" w:hAnsi="Times New Roman" w:cs="Times New Roman"/>
        </w:rPr>
        <w:t>questions is a skill in which students need to be nurtured. Youth ministry scholar David White writes that young people are intrinsically curious and love to learn. Rather than being stimulated, however, their curiosity is often tamped down and suppressed by educational approaches that tell them what to think, “draining them of their intrinsic intellectual interest.”</w:t>
      </w:r>
      <w:r w:rsidR="003F29BE">
        <w:rPr>
          <w:rStyle w:val="FootnoteReference"/>
          <w:rFonts w:ascii="Times New Roman" w:hAnsi="Times New Roman" w:cs="Times New Roman"/>
        </w:rPr>
        <w:footnoteReference w:id="31"/>
      </w:r>
      <w:r w:rsidR="003F29BE">
        <w:rPr>
          <w:rFonts w:ascii="Times New Roman" w:hAnsi="Times New Roman" w:cs="Times New Roman"/>
        </w:rPr>
        <w:t xml:space="preserve"> White goes on to say that churches have followed schools in “fail[</w:t>
      </w:r>
      <w:proofErr w:type="spellStart"/>
      <w:r w:rsidR="003F29BE">
        <w:rPr>
          <w:rFonts w:ascii="Times New Roman" w:hAnsi="Times New Roman" w:cs="Times New Roman"/>
        </w:rPr>
        <w:t>ing</w:t>
      </w:r>
      <w:proofErr w:type="spellEnd"/>
      <w:r w:rsidR="003F29BE">
        <w:rPr>
          <w:rFonts w:ascii="Times New Roman" w:hAnsi="Times New Roman" w:cs="Times New Roman"/>
        </w:rPr>
        <w:t>] to spark intellectual curiosity and capacity.”</w:t>
      </w:r>
      <w:r w:rsidR="003F29BE">
        <w:rPr>
          <w:rStyle w:val="FootnoteReference"/>
          <w:rFonts w:ascii="Times New Roman" w:hAnsi="Times New Roman" w:cs="Times New Roman"/>
        </w:rPr>
        <w:footnoteReference w:id="32"/>
      </w:r>
      <w:r w:rsidR="009F77DA">
        <w:rPr>
          <w:rFonts w:ascii="Times New Roman" w:hAnsi="Times New Roman" w:cs="Times New Roman"/>
        </w:rPr>
        <w:t xml:space="preserve"> In the past, I have led youth group Bible studies around the practice of reading the biblical text and asking youth to write down questions about </w:t>
      </w:r>
      <w:r w:rsidR="006E2EAC">
        <w:rPr>
          <w:rFonts w:ascii="Times New Roman" w:hAnsi="Times New Roman" w:cs="Times New Roman"/>
        </w:rPr>
        <w:t>it</w:t>
      </w:r>
      <w:r w:rsidR="009F77DA">
        <w:rPr>
          <w:rFonts w:ascii="Times New Roman" w:hAnsi="Times New Roman" w:cs="Times New Roman"/>
        </w:rPr>
        <w:t xml:space="preserve"> to discuss together. In the beginning, I found that students were unable to formulate their own questions, first telling me that they had none, then attempting overly-broad questions like “What does this passage mean?” With practice, however, I saw their capacity for wonder blossom as they began to ask imaginative questions (“What do you think this person did after meeting Jesus?”) and wonder about the mysteries of their faith (“When Jesus died, was there no God for three days?”).</w:t>
      </w:r>
      <w:r w:rsidR="009F77DA">
        <w:rPr>
          <w:rStyle w:val="FootnoteReference"/>
          <w:rFonts w:ascii="Times New Roman" w:hAnsi="Times New Roman" w:cs="Times New Roman"/>
        </w:rPr>
        <w:footnoteReference w:id="33"/>
      </w:r>
      <w:r w:rsidR="009F77DA">
        <w:rPr>
          <w:rFonts w:ascii="Times New Roman" w:hAnsi="Times New Roman" w:cs="Times New Roman"/>
        </w:rPr>
        <w:t xml:space="preserve"> Either of those questions would make an excellent takeaway.</w:t>
      </w:r>
    </w:p>
    <w:p w14:paraId="3F505734" w14:textId="448C9A75" w:rsidR="00804B87" w:rsidRDefault="00804B87" w:rsidP="00F53E18">
      <w:pPr>
        <w:spacing w:line="480" w:lineRule="auto"/>
        <w:jc w:val="center"/>
        <w:rPr>
          <w:rFonts w:ascii="Times New Roman" w:hAnsi="Times New Roman" w:cs="Times New Roman"/>
          <w:i/>
        </w:rPr>
      </w:pPr>
      <w:r>
        <w:rPr>
          <w:rFonts w:ascii="Times New Roman" w:hAnsi="Times New Roman" w:cs="Times New Roman"/>
          <w:i/>
        </w:rPr>
        <w:t>A Puzzle</w:t>
      </w:r>
    </w:p>
    <w:p w14:paraId="610E4D13" w14:textId="6D3F3057" w:rsidR="00DF2B60" w:rsidRDefault="00DF2B60" w:rsidP="00F53E18">
      <w:pPr>
        <w:spacing w:line="480" w:lineRule="auto"/>
        <w:rPr>
          <w:rFonts w:ascii="Times New Roman" w:hAnsi="Times New Roman" w:cs="Times New Roman"/>
        </w:rPr>
      </w:pPr>
      <w:r>
        <w:rPr>
          <w:rFonts w:ascii="Times New Roman" w:hAnsi="Times New Roman" w:cs="Times New Roman"/>
          <w:i/>
        </w:rPr>
        <w:tab/>
      </w:r>
      <w:r>
        <w:rPr>
          <w:rFonts w:ascii="Times New Roman" w:hAnsi="Times New Roman" w:cs="Times New Roman"/>
        </w:rPr>
        <w:t xml:space="preserve">A third kind of takeaway, and perhaps the broadest category, is to leave students with a kind of puzzle or riddle. </w:t>
      </w:r>
      <w:r w:rsidR="002D77CE">
        <w:rPr>
          <w:rFonts w:ascii="Times New Roman" w:hAnsi="Times New Roman" w:cs="Times New Roman"/>
        </w:rPr>
        <w:t xml:space="preserve">Most takeaways are expected and do not require students to think, to </w:t>
      </w:r>
      <w:r w:rsidR="002D77CE">
        <w:rPr>
          <w:rFonts w:ascii="Times New Roman" w:hAnsi="Times New Roman" w:cs="Times New Roman"/>
        </w:rPr>
        <w:lastRenderedPageBreak/>
        <w:t xml:space="preserve">make connections, or to fill in the blanks. Wonder, however, is piqued by mystery, ambiguity, and cognitive dissonance. Consider the example given above of the </w:t>
      </w:r>
      <w:r w:rsidR="002D77CE" w:rsidRPr="00EA1256">
        <w:rPr>
          <w:rFonts w:ascii="Times New Roman" w:hAnsi="Times New Roman" w:cs="Times New Roman"/>
          <w:i/>
        </w:rPr>
        <w:t>Ministry to Youth</w:t>
      </w:r>
      <w:r w:rsidR="002D77CE">
        <w:rPr>
          <w:rFonts w:ascii="Times New Roman" w:hAnsi="Times New Roman" w:cs="Times New Roman"/>
        </w:rPr>
        <w:t xml:space="preserve"> lesson that explains the “iron sharpens iron” proverb. The proverbs themselves are intended to be puzzles that engage the imagination, yet youth ministers often feel the need to explain them to students rather than allowing the proverbs to do their work. Valentine </w:t>
      </w:r>
      <w:proofErr w:type="spellStart"/>
      <w:r w:rsidR="002D77CE">
        <w:rPr>
          <w:rFonts w:ascii="Times New Roman" w:hAnsi="Times New Roman" w:cs="Times New Roman"/>
        </w:rPr>
        <w:t>Banfegha</w:t>
      </w:r>
      <w:proofErr w:type="spellEnd"/>
      <w:r w:rsidR="002D77CE">
        <w:rPr>
          <w:rFonts w:ascii="Times New Roman" w:hAnsi="Times New Roman" w:cs="Times New Roman"/>
        </w:rPr>
        <w:t xml:space="preserve"> </w:t>
      </w:r>
      <w:proofErr w:type="spellStart"/>
      <w:r w:rsidR="002D77CE">
        <w:rPr>
          <w:rFonts w:ascii="Times New Roman" w:hAnsi="Times New Roman" w:cs="Times New Roman"/>
        </w:rPr>
        <w:t>Ngalim</w:t>
      </w:r>
      <w:proofErr w:type="spellEnd"/>
      <w:r w:rsidR="002D77CE">
        <w:rPr>
          <w:rFonts w:ascii="Times New Roman" w:hAnsi="Times New Roman" w:cs="Times New Roman"/>
        </w:rPr>
        <w:t xml:space="preserve"> and </w:t>
      </w:r>
      <w:proofErr w:type="spellStart"/>
      <w:r w:rsidR="002D77CE">
        <w:rPr>
          <w:rFonts w:ascii="Times New Roman" w:hAnsi="Times New Roman" w:cs="Times New Roman"/>
        </w:rPr>
        <w:t>Fomutar</w:t>
      </w:r>
      <w:proofErr w:type="spellEnd"/>
      <w:r w:rsidR="002D77CE">
        <w:rPr>
          <w:rFonts w:ascii="Times New Roman" w:hAnsi="Times New Roman" w:cs="Times New Roman"/>
        </w:rPr>
        <w:t xml:space="preserve"> Stanislaus, reflecting on the value of traditional African pedagogy for cultivating wonder, write that African proverbs and riddles spark wonder through their “oblique and veiled” nature, in much the way that the biblical proverbs do.</w:t>
      </w:r>
      <w:r w:rsidR="002D77CE">
        <w:rPr>
          <w:rStyle w:val="FootnoteReference"/>
          <w:rFonts w:ascii="Times New Roman" w:hAnsi="Times New Roman" w:cs="Times New Roman"/>
        </w:rPr>
        <w:footnoteReference w:id="34"/>
      </w:r>
      <w:r w:rsidR="002D77CE">
        <w:rPr>
          <w:rFonts w:ascii="Times New Roman" w:hAnsi="Times New Roman" w:cs="Times New Roman"/>
        </w:rPr>
        <w:t xml:space="preserve"> Christian educators assume that an obvious, uncomplicated takeaway will promote better learning outcomes, but the opposite is often true; students are more drawn in by mystery or by a puzzle that presents an intellectual challenge.</w:t>
      </w:r>
    </w:p>
    <w:p w14:paraId="2C2E5E29" w14:textId="55DDBD68" w:rsidR="002D77CE" w:rsidRDefault="002D77CE" w:rsidP="00F53E18">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i/>
        </w:rPr>
        <w:t xml:space="preserve">A single word or phrase. </w:t>
      </w:r>
      <w:r>
        <w:rPr>
          <w:rFonts w:ascii="Times New Roman" w:hAnsi="Times New Roman" w:cs="Times New Roman"/>
        </w:rPr>
        <w:t xml:space="preserve">Educators can offer a takeaway of a single word or short phrase, which leaves more to the imagination than a full sentence. The word could be the main topic of the lesson (“grace,” “healing,” etc.), a word </w:t>
      </w:r>
      <w:r w:rsidR="007A1701">
        <w:rPr>
          <w:rFonts w:ascii="Times New Roman" w:hAnsi="Times New Roman" w:cs="Times New Roman"/>
        </w:rPr>
        <w:t xml:space="preserve">from the text </w:t>
      </w:r>
      <w:r>
        <w:rPr>
          <w:rFonts w:ascii="Times New Roman" w:hAnsi="Times New Roman" w:cs="Times New Roman"/>
        </w:rPr>
        <w:t>that is tangentially connected to the lesson (in the example of John 8 above, the takeaway might be “stone” or “the older ones first”), or the introduction of a new word</w:t>
      </w:r>
      <w:r w:rsidR="007A1701">
        <w:rPr>
          <w:rFonts w:ascii="Times New Roman" w:hAnsi="Times New Roman" w:cs="Times New Roman"/>
        </w:rPr>
        <w:t xml:space="preserve"> (“humility”)</w:t>
      </w:r>
      <w:r>
        <w:rPr>
          <w:rFonts w:ascii="Times New Roman" w:hAnsi="Times New Roman" w:cs="Times New Roman"/>
        </w:rPr>
        <w:t xml:space="preserve"> that would require students to ponder how it might relate to the lesson. There is more that students’ brains can do with a single word than with a full takeaway. It provides an orienting framework in which students can assimilate concepts they learned in the lesson, but they may</w:t>
      </w:r>
      <w:r w:rsidR="00DF1DC5">
        <w:rPr>
          <w:rFonts w:ascii="Times New Roman" w:hAnsi="Times New Roman" w:cs="Times New Roman"/>
        </w:rPr>
        <w:t xml:space="preserve"> also</w:t>
      </w:r>
      <w:r>
        <w:rPr>
          <w:rFonts w:ascii="Times New Roman" w:hAnsi="Times New Roman" w:cs="Times New Roman"/>
        </w:rPr>
        <w:t xml:space="preserve"> have other associations with the word that might deepen or nuance the educator’s presentation of it. A single word or phrase is also more likely to be repeated in their head over and over, and to become a breath prayer.</w:t>
      </w:r>
    </w:p>
    <w:p w14:paraId="2B5F9BA2" w14:textId="12DE5500" w:rsidR="002D77CE" w:rsidRPr="002D77CE" w:rsidRDefault="002D77CE" w:rsidP="00F53E18">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i/>
        </w:rPr>
        <w:t xml:space="preserve">A puzzling statement. </w:t>
      </w:r>
      <w:r w:rsidR="00166147">
        <w:rPr>
          <w:rFonts w:ascii="Times New Roman" w:hAnsi="Times New Roman" w:cs="Times New Roman"/>
        </w:rPr>
        <w:t>Key biblical texts in youth curriculum are chosen in part because they seem easy to understand</w:t>
      </w:r>
      <w:r w:rsidR="0069701D">
        <w:rPr>
          <w:rFonts w:ascii="Times New Roman" w:hAnsi="Times New Roman" w:cs="Times New Roman"/>
        </w:rPr>
        <w:t xml:space="preserve"> and apply</w:t>
      </w:r>
      <w:r>
        <w:rPr>
          <w:rFonts w:ascii="Times New Roman" w:hAnsi="Times New Roman" w:cs="Times New Roman"/>
        </w:rPr>
        <w:t xml:space="preserve">. But why not provide students with an unexpected or </w:t>
      </w:r>
      <w:r>
        <w:rPr>
          <w:rFonts w:ascii="Times New Roman" w:hAnsi="Times New Roman" w:cs="Times New Roman"/>
        </w:rPr>
        <w:lastRenderedPageBreak/>
        <w:t xml:space="preserve">puzzling text as their takeaway? </w:t>
      </w:r>
      <w:r w:rsidR="007A1701">
        <w:rPr>
          <w:rFonts w:ascii="Times New Roman" w:hAnsi="Times New Roman" w:cs="Times New Roman"/>
        </w:rPr>
        <w:t xml:space="preserve">I noted above in a tongue-in-cheek way that no one decorates their room with “My God, my God, why have you forsaken me?” But offering it as a takeaway is a surprising choice that is likely to get students thinking: Why is </w:t>
      </w:r>
      <w:r w:rsidR="007A1701">
        <w:rPr>
          <w:rFonts w:ascii="Times New Roman" w:hAnsi="Times New Roman" w:cs="Times New Roman"/>
          <w:i/>
        </w:rPr>
        <w:t xml:space="preserve">this </w:t>
      </w:r>
      <w:r w:rsidR="007A1701">
        <w:rPr>
          <w:rFonts w:ascii="Times New Roman" w:hAnsi="Times New Roman" w:cs="Times New Roman"/>
        </w:rPr>
        <w:t>what my youth pastor wants me to remember? What does it mean for my faith?</w:t>
      </w:r>
    </w:p>
    <w:p w14:paraId="1CA80049" w14:textId="13AEA459" w:rsidR="002D77CE" w:rsidRPr="002D77CE" w:rsidRDefault="002D77CE" w:rsidP="00F53E18">
      <w:pPr>
        <w:spacing w:line="480" w:lineRule="auto"/>
        <w:rPr>
          <w:rFonts w:ascii="Times New Roman" w:hAnsi="Times New Roman" w:cs="Times New Roman"/>
        </w:rPr>
      </w:pPr>
      <w:r>
        <w:rPr>
          <w:rFonts w:ascii="Times New Roman" w:hAnsi="Times New Roman" w:cs="Times New Roman"/>
          <w:i/>
        </w:rPr>
        <w:tab/>
        <w:t xml:space="preserve">A tangentially-related Scripture. </w:t>
      </w:r>
      <w:r>
        <w:rPr>
          <w:rFonts w:ascii="Times New Roman" w:hAnsi="Times New Roman" w:cs="Times New Roman"/>
        </w:rPr>
        <w:t>Ending with a tangentially-related Scripture takeaway works by juxtaposing two things whose connection is not immediately obvious. When a student is forced to consider whether, and how, two things are related, it pushes them into the realm of analytical thinking, which requires more of them cognitively than the typical application model does. It is common in youth curricula for a lesson to include more than one biblical text on a given topic; however, the connection is usually explained or seems obvious. Instead, an educator should consider concluding a lesson without explaining the connection. In the case of John 8, the lesson could end by reading the Mosaic law about stoning; one of Jesus’ rebukes to the Pharisees; another story of Jesus interacting with a woman; or any other text that might have a tangential connection to the main story.</w:t>
      </w:r>
    </w:p>
    <w:p w14:paraId="35EBF458" w14:textId="1D146BEB" w:rsidR="002D77CE" w:rsidRPr="002D77CE" w:rsidRDefault="002D77CE" w:rsidP="00F53E18">
      <w:pPr>
        <w:spacing w:line="480" w:lineRule="auto"/>
        <w:rPr>
          <w:rFonts w:ascii="Times New Roman" w:hAnsi="Times New Roman" w:cs="Times New Roman"/>
        </w:rPr>
      </w:pPr>
      <w:r>
        <w:rPr>
          <w:rFonts w:ascii="Times New Roman" w:hAnsi="Times New Roman" w:cs="Times New Roman"/>
          <w:i/>
        </w:rPr>
        <w:tab/>
        <w:t xml:space="preserve">A contradictory perspective. </w:t>
      </w:r>
      <w:r>
        <w:rPr>
          <w:rFonts w:ascii="Times New Roman" w:hAnsi="Times New Roman" w:cs="Times New Roman"/>
        </w:rPr>
        <w:t>A way to pique students’ curiosity through cognitive dissonance is to conclude by introducing a</w:t>
      </w:r>
      <w:r w:rsidR="0049796B">
        <w:rPr>
          <w:rFonts w:ascii="Times New Roman" w:hAnsi="Times New Roman" w:cs="Times New Roman"/>
        </w:rPr>
        <w:t>n alternative or</w:t>
      </w:r>
      <w:r>
        <w:rPr>
          <w:rFonts w:ascii="Times New Roman" w:hAnsi="Times New Roman" w:cs="Times New Roman"/>
        </w:rPr>
        <w:t xml:space="preserve"> contradictory perspective, either within the Bible itself or as a theological rebuttal, which might be framed with “Although, on the other hand…” or “But then again, some people think…” For example, a lesson on the importance of honesty could be concluded by reading the story of God blessing the Hebrew midwives for lying (Ex. 1:15-21). </w:t>
      </w:r>
    </w:p>
    <w:p w14:paraId="66657645" w14:textId="0CA53482" w:rsidR="002D77CE" w:rsidRPr="0049796B" w:rsidRDefault="002D77CE" w:rsidP="00A046C8">
      <w:pPr>
        <w:spacing w:line="480" w:lineRule="auto"/>
        <w:rPr>
          <w:rFonts w:ascii="Times New Roman" w:hAnsi="Times New Roman" w:cs="Times New Roman"/>
        </w:rPr>
      </w:pPr>
      <w:r>
        <w:rPr>
          <w:rFonts w:ascii="Times New Roman" w:hAnsi="Times New Roman" w:cs="Times New Roman"/>
          <w:i/>
        </w:rPr>
        <w:tab/>
        <w:t>A story or parable.</w:t>
      </w:r>
      <w:r w:rsidR="0049796B">
        <w:rPr>
          <w:rFonts w:ascii="Times New Roman" w:hAnsi="Times New Roman" w:cs="Times New Roman"/>
          <w:i/>
        </w:rPr>
        <w:t xml:space="preserve"> </w:t>
      </w:r>
      <w:r w:rsidR="0049796B">
        <w:rPr>
          <w:rFonts w:ascii="Times New Roman" w:hAnsi="Times New Roman" w:cs="Times New Roman"/>
        </w:rPr>
        <w:t xml:space="preserve">An illustrative story or parable—again, </w:t>
      </w:r>
      <w:r w:rsidR="007E159F">
        <w:rPr>
          <w:rFonts w:ascii="Times New Roman" w:hAnsi="Times New Roman" w:cs="Times New Roman"/>
        </w:rPr>
        <w:t xml:space="preserve">one </w:t>
      </w:r>
      <w:r w:rsidR="0049796B">
        <w:rPr>
          <w:rFonts w:ascii="Times New Roman" w:hAnsi="Times New Roman" w:cs="Times New Roman"/>
        </w:rPr>
        <w:t>that is somewhat enigmatic and not fully explained—can also be an effective way to end a lesson with a puzzle</w:t>
      </w:r>
      <w:r w:rsidR="007E159F">
        <w:rPr>
          <w:rFonts w:ascii="Times New Roman" w:hAnsi="Times New Roman" w:cs="Times New Roman"/>
        </w:rPr>
        <w:t xml:space="preserve"> that keeps students thinking. Preacher Fred Craddock was a masterful storyteller </w:t>
      </w:r>
      <w:r w:rsidR="00A046C8">
        <w:rPr>
          <w:rFonts w:ascii="Times New Roman" w:hAnsi="Times New Roman" w:cs="Times New Roman"/>
        </w:rPr>
        <w:t xml:space="preserve">who did not </w:t>
      </w:r>
      <w:r w:rsidR="00A046C8">
        <w:rPr>
          <w:rFonts w:ascii="Times New Roman" w:hAnsi="Times New Roman" w:cs="Times New Roman"/>
        </w:rPr>
        <w:lastRenderedPageBreak/>
        <w:t>spell out the implications of his stories</w:t>
      </w:r>
      <w:r w:rsidR="007E159F">
        <w:rPr>
          <w:rFonts w:ascii="Times New Roman" w:hAnsi="Times New Roman" w:cs="Times New Roman"/>
        </w:rPr>
        <w:t xml:space="preserve"> but rather </w:t>
      </w:r>
      <w:r w:rsidR="00A046C8">
        <w:rPr>
          <w:rFonts w:ascii="Times New Roman" w:hAnsi="Times New Roman" w:cs="Times New Roman"/>
        </w:rPr>
        <w:t>left</w:t>
      </w:r>
      <w:r w:rsidR="007E159F">
        <w:rPr>
          <w:rFonts w:ascii="Times New Roman" w:hAnsi="Times New Roman" w:cs="Times New Roman"/>
        </w:rPr>
        <w:t xml:space="preserve"> </w:t>
      </w:r>
      <w:r w:rsidR="00A046C8">
        <w:rPr>
          <w:rFonts w:ascii="Times New Roman" w:hAnsi="Times New Roman" w:cs="Times New Roman"/>
        </w:rPr>
        <w:t>his</w:t>
      </w:r>
      <w:r w:rsidR="007E159F">
        <w:rPr>
          <w:rFonts w:ascii="Times New Roman" w:hAnsi="Times New Roman" w:cs="Times New Roman"/>
        </w:rPr>
        <w:t xml:space="preserve"> listener</w:t>
      </w:r>
      <w:r w:rsidR="00A046C8">
        <w:rPr>
          <w:rFonts w:ascii="Times New Roman" w:hAnsi="Times New Roman" w:cs="Times New Roman"/>
        </w:rPr>
        <w:t xml:space="preserve">s </w:t>
      </w:r>
      <w:r w:rsidR="007E159F">
        <w:rPr>
          <w:rFonts w:ascii="Times New Roman" w:hAnsi="Times New Roman" w:cs="Times New Roman"/>
        </w:rPr>
        <w:t>to make the connection</w:t>
      </w:r>
      <w:r w:rsidR="00A046C8">
        <w:rPr>
          <w:rFonts w:ascii="Times New Roman" w:hAnsi="Times New Roman" w:cs="Times New Roman"/>
        </w:rPr>
        <w:t xml:space="preserve"> for themselves</w:t>
      </w:r>
      <w:r w:rsidR="007E159F">
        <w:rPr>
          <w:rFonts w:ascii="Times New Roman" w:hAnsi="Times New Roman" w:cs="Times New Roman"/>
        </w:rPr>
        <w:t>.</w:t>
      </w:r>
      <w:r w:rsidR="007E159F">
        <w:rPr>
          <w:rStyle w:val="FootnoteReference"/>
          <w:rFonts w:ascii="Times New Roman" w:hAnsi="Times New Roman" w:cs="Times New Roman"/>
        </w:rPr>
        <w:footnoteReference w:id="35"/>
      </w:r>
      <w:r w:rsidR="007E159F">
        <w:rPr>
          <w:rFonts w:ascii="Times New Roman" w:hAnsi="Times New Roman" w:cs="Times New Roman"/>
        </w:rPr>
        <w:t xml:space="preserve"> An educator who can conclude with stories like </w:t>
      </w:r>
      <w:r w:rsidR="00440C31">
        <w:rPr>
          <w:rFonts w:ascii="Times New Roman" w:hAnsi="Times New Roman" w:cs="Times New Roman"/>
        </w:rPr>
        <w:t>Craddock’s</w:t>
      </w:r>
      <w:r w:rsidR="007E159F">
        <w:rPr>
          <w:rFonts w:ascii="Times New Roman" w:hAnsi="Times New Roman" w:cs="Times New Roman"/>
        </w:rPr>
        <w:t xml:space="preserve"> will have students mulling over the lesson—and coming back for more. </w:t>
      </w:r>
    </w:p>
    <w:p w14:paraId="319D04EF" w14:textId="60FA30C5" w:rsidR="00804B87" w:rsidRDefault="00804B87" w:rsidP="00F53E18">
      <w:pPr>
        <w:spacing w:line="480" w:lineRule="auto"/>
        <w:jc w:val="center"/>
        <w:rPr>
          <w:rFonts w:ascii="Times New Roman" w:hAnsi="Times New Roman" w:cs="Times New Roman"/>
          <w:i/>
        </w:rPr>
      </w:pPr>
      <w:r>
        <w:rPr>
          <w:rFonts w:ascii="Times New Roman" w:hAnsi="Times New Roman" w:cs="Times New Roman"/>
          <w:i/>
        </w:rPr>
        <w:t>A Souvenir</w:t>
      </w:r>
    </w:p>
    <w:p w14:paraId="792DF11F" w14:textId="3BF8A5C4" w:rsidR="00440C31" w:rsidRPr="00320680" w:rsidRDefault="00440C31" w:rsidP="00F53E18">
      <w:pPr>
        <w:spacing w:line="480" w:lineRule="auto"/>
        <w:rPr>
          <w:rFonts w:ascii="Times New Roman" w:hAnsi="Times New Roman" w:cs="Times New Roman"/>
        </w:rPr>
      </w:pPr>
      <w:r>
        <w:rPr>
          <w:rFonts w:ascii="Times New Roman" w:hAnsi="Times New Roman" w:cs="Times New Roman"/>
        </w:rPr>
        <w:tab/>
        <w:t>The fourth type of takeaway is what religious education scholar Peter Cariaga refers to as a “souvenir”</w:t>
      </w:r>
      <w:r>
        <w:rPr>
          <w:rStyle w:val="FootnoteReference"/>
          <w:rFonts w:ascii="Times New Roman" w:hAnsi="Times New Roman" w:cs="Times New Roman"/>
        </w:rPr>
        <w:footnoteReference w:id="36"/>
      </w:r>
      <w:r>
        <w:rPr>
          <w:rFonts w:ascii="Times New Roman" w:hAnsi="Times New Roman" w:cs="Times New Roman"/>
        </w:rPr>
        <w:t xml:space="preserve">: students identify or develop their own takeaways from the lesson and discussion. To help students identify their souvenir, educators might ask students, “What is something someone said that you want to remember?”, or “What do you think God might be saying to you today?” As with the other types of reimagined takeaways, the souvenir has endless possibilities for variation. Students could be asked to draw a pictorial representation of their takeaway. They could write their takeaway in the style of a proverb. They could rewrite a key text in their own words. </w:t>
      </w:r>
      <w:r w:rsidR="00320680">
        <w:rPr>
          <w:rFonts w:ascii="Times New Roman" w:hAnsi="Times New Roman" w:cs="Times New Roman"/>
        </w:rPr>
        <w:t xml:space="preserve">They could choose a single word or phrase, perhaps from practicing </w:t>
      </w:r>
      <w:r w:rsidR="00320680">
        <w:rPr>
          <w:rFonts w:ascii="Times New Roman" w:hAnsi="Times New Roman" w:cs="Times New Roman"/>
          <w:i/>
        </w:rPr>
        <w:t xml:space="preserve">lectio </w:t>
      </w:r>
      <w:proofErr w:type="spellStart"/>
      <w:r w:rsidR="00320680">
        <w:rPr>
          <w:rFonts w:ascii="Times New Roman" w:hAnsi="Times New Roman" w:cs="Times New Roman"/>
          <w:i/>
        </w:rPr>
        <w:t>divina</w:t>
      </w:r>
      <w:proofErr w:type="spellEnd"/>
      <w:r w:rsidR="00320680">
        <w:rPr>
          <w:rFonts w:ascii="Times New Roman" w:hAnsi="Times New Roman" w:cs="Times New Roman"/>
          <w:i/>
        </w:rPr>
        <w:t xml:space="preserve"> </w:t>
      </w:r>
      <w:r w:rsidR="00320680">
        <w:rPr>
          <w:rFonts w:ascii="Times New Roman" w:hAnsi="Times New Roman" w:cs="Times New Roman"/>
        </w:rPr>
        <w:t xml:space="preserve">with the text. To take the souvenir a step further into </w:t>
      </w:r>
      <w:r w:rsidR="009A6746">
        <w:rPr>
          <w:rFonts w:ascii="Times New Roman" w:hAnsi="Times New Roman" w:cs="Times New Roman"/>
        </w:rPr>
        <w:t xml:space="preserve">empathy and </w:t>
      </w:r>
      <w:r w:rsidR="00320680">
        <w:rPr>
          <w:rFonts w:ascii="Times New Roman" w:hAnsi="Times New Roman" w:cs="Times New Roman"/>
        </w:rPr>
        <w:t>critical thought, students could be asked to write down and turn in their takeaway, and then draw someone else’s at random. In addition to having identified their own takeaway, students will see that others experienced the text or the lesson differently. The educator might ask students to think about why someone else might have chosen that takeaway, to reflect on how God might be working in that person’s life, and to pray for them throughout the week.</w:t>
      </w:r>
    </w:p>
    <w:p w14:paraId="2039E84F" w14:textId="5CEEE26E" w:rsidR="00110C6B" w:rsidRDefault="00110C6B" w:rsidP="00F53E18">
      <w:pPr>
        <w:spacing w:line="480" w:lineRule="auto"/>
        <w:jc w:val="center"/>
        <w:rPr>
          <w:rFonts w:ascii="Times New Roman" w:hAnsi="Times New Roman" w:cs="Times New Roman"/>
          <w:b/>
        </w:rPr>
      </w:pPr>
      <w:r>
        <w:rPr>
          <w:rFonts w:ascii="Times New Roman" w:hAnsi="Times New Roman" w:cs="Times New Roman"/>
          <w:b/>
        </w:rPr>
        <w:t>A Word on Theological Education</w:t>
      </w:r>
    </w:p>
    <w:p w14:paraId="7D75D54F" w14:textId="5345DCBB" w:rsidR="00110C6B" w:rsidRPr="009E0346" w:rsidRDefault="00110C6B" w:rsidP="00F53E18">
      <w:pPr>
        <w:spacing w:line="480" w:lineRule="auto"/>
        <w:rPr>
          <w:rFonts w:ascii="Times New Roman" w:hAnsi="Times New Roman" w:cs="Times New Roman"/>
        </w:rPr>
      </w:pPr>
      <w:r>
        <w:rPr>
          <w:rFonts w:ascii="Times New Roman" w:hAnsi="Times New Roman" w:cs="Times New Roman"/>
        </w:rPr>
        <w:tab/>
        <w:t xml:space="preserve">In my dissertation defense, my Hebrew Bible mentor asked me about the implications of my educational theory, not only for youth ministry, but also for theological education. Facing a </w:t>
      </w:r>
      <w:r>
        <w:rPr>
          <w:rFonts w:ascii="Times New Roman" w:hAnsi="Times New Roman" w:cs="Times New Roman"/>
        </w:rPr>
        <w:lastRenderedPageBreak/>
        <w:t>curricular change that would reduce Introduction to the Old Testament from two semesters down to one, he found himself wondering how he could possibly tell students everything they needed to know about the Old Testament with less than fifty minutes per book.</w:t>
      </w:r>
      <w:r w:rsidR="00E5362D">
        <w:rPr>
          <w:rFonts w:ascii="Times New Roman" w:hAnsi="Times New Roman" w:cs="Times New Roman"/>
        </w:rPr>
        <w:t xml:space="preserve"> </w:t>
      </w:r>
      <w:r w:rsidR="009E0346">
        <w:rPr>
          <w:rFonts w:ascii="Times New Roman" w:hAnsi="Times New Roman" w:cs="Times New Roman"/>
        </w:rPr>
        <w:t>As the hours of an M.Div. degree decrease, electives give way to survey courses.</w:t>
      </w:r>
      <w:r w:rsidR="009E0346">
        <w:rPr>
          <w:rFonts w:ascii="Times New Roman" w:hAnsi="Times New Roman" w:cs="Times New Roman"/>
        </w:rPr>
        <w:t xml:space="preserve"> </w:t>
      </w:r>
      <w:r w:rsidR="00E5362D">
        <w:rPr>
          <w:rFonts w:ascii="Times New Roman" w:hAnsi="Times New Roman" w:cs="Times New Roman"/>
        </w:rPr>
        <w:t xml:space="preserve">The importance of the material and the scarcity of time combine to make educators feel that it is more important than ever to distill the material to a few key takeaways. My answer was that, because it </w:t>
      </w:r>
      <w:r w:rsidR="007553A8">
        <w:rPr>
          <w:rFonts w:ascii="Times New Roman" w:hAnsi="Times New Roman" w:cs="Times New Roman"/>
        </w:rPr>
        <w:t>is simply</w:t>
      </w:r>
      <w:r w:rsidR="00E5362D">
        <w:rPr>
          <w:rFonts w:ascii="Times New Roman" w:hAnsi="Times New Roman" w:cs="Times New Roman"/>
        </w:rPr>
        <w:t xml:space="preserve"> not possible to cover an entire book of the Old Testament in a single class period, the goal of the class should not be to tell students everything they need to know—an approach that exempts them from further study—but rather to whet their appetite by showing them how much they </w:t>
      </w:r>
      <w:r w:rsidR="00E5362D">
        <w:rPr>
          <w:rFonts w:ascii="Times New Roman" w:hAnsi="Times New Roman" w:cs="Times New Roman"/>
          <w:i/>
        </w:rPr>
        <w:t xml:space="preserve">do not </w:t>
      </w:r>
      <w:r w:rsidR="00E5362D">
        <w:rPr>
          <w:rFonts w:ascii="Times New Roman" w:hAnsi="Times New Roman" w:cs="Times New Roman"/>
        </w:rPr>
        <w:t xml:space="preserve">know. </w:t>
      </w:r>
      <w:r w:rsidR="009E0346">
        <w:rPr>
          <w:rFonts w:ascii="Times New Roman" w:hAnsi="Times New Roman" w:cs="Times New Roman"/>
        </w:rPr>
        <w:t xml:space="preserve">It becomes less important to tell students </w:t>
      </w:r>
      <w:r w:rsidR="009E0346">
        <w:rPr>
          <w:rFonts w:ascii="Times New Roman" w:hAnsi="Times New Roman" w:cs="Times New Roman"/>
          <w:i/>
        </w:rPr>
        <w:t xml:space="preserve">what </w:t>
      </w:r>
      <w:r w:rsidR="009E0346">
        <w:rPr>
          <w:rFonts w:ascii="Times New Roman" w:hAnsi="Times New Roman" w:cs="Times New Roman"/>
        </w:rPr>
        <w:t xml:space="preserve">to think, and more important to teach them </w:t>
      </w:r>
      <w:r w:rsidR="009E0346">
        <w:rPr>
          <w:rFonts w:ascii="Times New Roman" w:hAnsi="Times New Roman" w:cs="Times New Roman"/>
          <w:i/>
        </w:rPr>
        <w:t xml:space="preserve">how </w:t>
      </w:r>
      <w:r w:rsidR="009E0346">
        <w:rPr>
          <w:rFonts w:ascii="Times New Roman" w:hAnsi="Times New Roman" w:cs="Times New Roman"/>
        </w:rPr>
        <w:t>to think.</w:t>
      </w:r>
    </w:p>
    <w:p w14:paraId="53718E5F" w14:textId="39826895" w:rsidR="00110C6B" w:rsidRPr="00110C6B" w:rsidRDefault="00110C6B" w:rsidP="00F53E18">
      <w:pPr>
        <w:spacing w:line="480" w:lineRule="auto"/>
        <w:rPr>
          <w:rFonts w:ascii="Times New Roman" w:hAnsi="Times New Roman" w:cs="Times New Roman"/>
        </w:rPr>
      </w:pPr>
      <w:r>
        <w:rPr>
          <w:rFonts w:ascii="Times New Roman" w:hAnsi="Times New Roman" w:cs="Times New Roman"/>
        </w:rPr>
        <w:tab/>
      </w:r>
      <w:r w:rsidR="00E5362D">
        <w:rPr>
          <w:rFonts w:ascii="Times New Roman" w:hAnsi="Times New Roman" w:cs="Times New Roman"/>
        </w:rPr>
        <w:t>Sometime after that, I was</w:t>
      </w:r>
      <w:r>
        <w:rPr>
          <w:rFonts w:ascii="Times New Roman" w:hAnsi="Times New Roman" w:cs="Times New Roman"/>
        </w:rPr>
        <w:t xml:space="preserve"> invited to give a guest lecture to seminary students on how to teach the wisdom literature. Because my presentation was focused on the puzzle-like quality of the wisdom literature, I found myself struggling with putting my own ideas into practice. I knew that, to be pedagogically consistent, I could not merely reiterate my main points. I needed to conclude with some kind of question or puzzle that would keep students coming back to the wisdom literature. As I pondered my conclusion, I began to realize that reimagined takeaways require far more work than traditional ones. It is easier to tell </w:t>
      </w:r>
      <w:r w:rsidR="003F2222">
        <w:rPr>
          <w:rFonts w:ascii="Times New Roman" w:hAnsi="Times New Roman" w:cs="Times New Roman"/>
        </w:rPr>
        <w:t>students</w:t>
      </w:r>
      <w:r>
        <w:rPr>
          <w:rFonts w:ascii="Times New Roman" w:hAnsi="Times New Roman" w:cs="Times New Roman"/>
        </w:rPr>
        <w:t xml:space="preserve"> what </w:t>
      </w:r>
      <w:r w:rsidR="003F2222">
        <w:rPr>
          <w:rFonts w:ascii="Times New Roman" w:hAnsi="Times New Roman" w:cs="Times New Roman"/>
        </w:rPr>
        <w:t>to</w:t>
      </w:r>
      <w:r>
        <w:rPr>
          <w:rFonts w:ascii="Times New Roman" w:hAnsi="Times New Roman" w:cs="Times New Roman"/>
        </w:rPr>
        <w:t xml:space="preserve"> think</w:t>
      </w:r>
      <w:r w:rsidR="00E5362D">
        <w:rPr>
          <w:rFonts w:ascii="Times New Roman" w:hAnsi="Times New Roman" w:cs="Times New Roman"/>
        </w:rPr>
        <w:t xml:space="preserve"> </w:t>
      </w:r>
      <w:r>
        <w:rPr>
          <w:rFonts w:ascii="Times New Roman" w:hAnsi="Times New Roman" w:cs="Times New Roman"/>
        </w:rPr>
        <w:t xml:space="preserve">than to develop pedagogies that make </w:t>
      </w:r>
      <w:r w:rsidR="003F2222">
        <w:rPr>
          <w:rFonts w:ascii="Times New Roman" w:hAnsi="Times New Roman" w:cs="Times New Roman"/>
        </w:rPr>
        <w:t>them</w:t>
      </w:r>
      <w:r>
        <w:rPr>
          <w:rFonts w:ascii="Times New Roman" w:hAnsi="Times New Roman" w:cs="Times New Roman"/>
        </w:rPr>
        <w:t xml:space="preserve"> think. </w:t>
      </w:r>
      <w:r w:rsidR="00E5362D">
        <w:rPr>
          <w:rFonts w:ascii="Times New Roman" w:hAnsi="Times New Roman" w:cs="Times New Roman"/>
        </w:rPr>
        <w:t xml:space="preserve">I puzzled over it for hours on my commute and while lying in bed. </w:t>
      </w:r>
      <w:r>
        <w:rPr>
          <w:rFonts w:ascii="Times New Roman" w:hAnsi="Times New Roman" w:cs="Times New Roman"/>
        </w:rPr>
        <w:t>I finally landed on this “takeaway”: “What kind of theology, and what kind of faith, leads someone who has lost ten children to dare to procreate again? Because if you want to understand the book of Job, or if you want to have a sustained career in ministry, I think the answer will be important to you.”</w:t>
      </w:r>
      <w:r w:rsidR="003F2222">
        <w:rPr>
          <w:rFonts w:ascii="Times New Roman" w:hAnsi="Times New Roman" w:cs="Times New Roman"/>
        </w:rPr>
        <w:t xml:space="preserve"> The change in energy was palpable. Students looked up, </w:t>
      </w:r>
      <w:r w:rsidR="003F2222">
        <w:rPr>
          <w:rFonts w:ascii="Times New Roman" w:hAnsi="Times New Roman" w:cs="Times New Roman"/>
        </w:rPr>
        <w:lastRenderedPageBreak/>
        <w:t>leaned in, picked up their pencils, and nearly all of them began to write. One of them asked, “Can you please say that again?” I repeated the question more slowly. Another student asked, “I’m sorry, just one more time? I want to make sure I remember it.”</w:t>
      </w:r>
    </w:p>
    <w:p w14:paraId="4E8A213B" w14:textId="0DA7014F" w:rsidR="00440C31" w:rsidRDefault="00440C31" w:rsidP="00F53E18">
      <w:pPr>
        <w:spacing w:line="480" w:lineRule="auto"/>
        <w:jc w:val="center"/>
        <w:rPr>
          <w:rFonts w:ascii="Times New Roman" w:hAnsi="Times New Roman" w:cs="Times New Roman"/>
          <w:b/>
        </w:rPr>
      </w:pPr>
      <w:r>
        <w:rPr>
          <w:rFonts w:ascii="Times New Roman" w:hAnsi="Times New Roman" w:cs="Times New Roman"/>
          <w:b/>
        </w:rPr>
        <w:t>Conclusion</w:t>
      </w:r>
    </w:p>
    <w:p w14:paraId="5AE9FE7A" w14:textId="05CA9B3C" w:rsidR="00440C31" w:rsidRDefault="00440C31" w:rsidP="00F53E18">
      <w:pPr>
        <w:spacing w:line="480" w:lineRule="auto"/>
        <w:rPr>
          <w:rFonts w:ascii="Times New Roman" w:hAnsi="Times New Roman" w:cs="Times New Roman"/>
        </w:rPr>
      </w:pPr>
      <w:r>
        <w:rPr>
          <w:rFonts w:ascii="Times New Roman" w:hAnsi="Times New Roman" w:cs="Times New Roman"/>
        </w:rPr>
        <w:tab/>
        <w:t xml:space="preserve">The key text and takeaway approach </w:t>
      </w:r>
      <w:proofErr w:type="gramStart"/>
      <w:r>
        <w:rPr>
          <w:rFonts w:ascii="Times New Roman" w:hAnsi="Times New Roman" w:cs="Times New Roman"/>
        </w:rPr>
        <w:t>is</w:t>
      </w:r>
      <w:proofErr w:type="gramEnd"/>
      <w:r>
        <w:rPr>
          <w:rFonts w:ascii="Times New Roman" w:hAnsi="Times New Roman" w:cs="Times New Roman"/>
        </w:rPr>
        <w:t xml:space="preserve"> the default method of many youth ministers and curriculum writers who want to make lessons accessible to students and easy to understand. However, because a takeaway rarely introduces a new idea, and because it requires very little cognitive effort from students, it often has the unintended effect of dulling student engagement. I suggest reimagining the takeaway as something that can provoke wonder and invite theological imagination; rather than wrapping up loose ends for students, a reimagined takeaway intentionally leaves loose ends for students to wrestle with and tie up themselves. In doing so, the religious educator makes space for young people to continue engaging the deep waters of Scripture, theology, and faith long after the “amen” is said.</w:t>
      </w:r>
    </w:p>
    <w:p w14:paraId="48B210AF" w14:textId="60F9064C" w:rsidR="00E2695B" w:rsidRDefault="00440C31" w:rsidP="00F53E18">
      <w:pPr>
        <w:spacing w:line="480" w:lineRule="auto"/>
        <w:rPr>
          <w:rFonts w:ascii="Times New Roman" w:hAnsi="Times New Roman" w:cs="Times New Roman"/>
        </w:rPr>
      </w:pPr>
      <w:r>
        <w:rPr>
          <w:rFonts w:ascii="Times New Roman" w:hAnsi="Times New Roman" w:cs="Times New Roman"/>
        </w:rPr>
        <w:tab/>
        <w:t>And so, if you don’t hear anything else I’ve said in this article, hear this: Wonder dispels our delusions of control.</w:t>
      </w:r>
    </w:p>
    <w:p w14:paraId="4C73726B" w14:textId="77777777" w:rsidR="00E2695B" w:rsidRDefault="00E2695B">
      <w:pPr>
        <w:rPr>
          <w:rFonts w:ascii="Times New Roman" w:hAnsi="Times New Roman" w:cs="Times New Roman"/>
        </w:rPr>
      </w:pPr>
      <w:r>
        <w:rPr>
          <w:rFonts w:ascii="Times New Roman" w:hAnsi="Times New Roman" w:cs="Times New Roman"/>
        </w:rPr>
        <w:br w:type="page"/>
      </w:r>
    </w:p>
    <w:p w14:paraId="0E54A98C" w14:textId="37CF8B17" w:rsidR="00440C31" w:rsidRDefault="00E2695B" w:rsidP="00E2695B">
      <w:pPr>
        <w:spacing w:line="480" w:lineRule="auto"/>
        <w:jc w:val="center"/>
        <w:rPr>
          <w:rFonts w:ascii="Times New Roman" w:hAnsi="Times New Roman" w:cs="Times New Roman"/>
        </w:rPr>
      </w:pPr>
      <w:r>
        <w:rPr>
          <w:rFonts w:ascii="Times New Roman" w:hAnsi="Times New Roman" w:cs="Times New Roman"/>
        </w:rPr>
        <w:lastRenderedPageBreak/>
        <w:t>BIBLIOGRAPHY</w:t>
      </w:r>
    </w:p>
    <w:p w14:paraId="19C466E5" w14:textId="6B805BD8" w:rsidR="00E2695B" w:rsidRDefault="00E2695B" w:rsidP="00E2695B">
      <w:pPr>
        <w:ind w:left="720" w:hanging="720"/>
        <w:rPr>
          <w:rFonts w:ascii="Times New Roman" w:hAnsi="Times New Roman" w:cs="Times New Roman"/>
        </w:rPr>
      </w:pPr>
      <w:r>
        <w:rPr>
          <w:rFonts w:ascii="Times New Roman" w:hAnsi="Times New Roman" w:cs="Times New Roman"/>
        </w:rPr>
        <w:t xml:space="preserve">Anderson, </w:t>
      </w:r>
      <w:proofErr w:type="spellStart"/>
      <w:r>
        <w:rPr>
          <w:rFonts w:ascii="Times New Roman" w:hAnsi="Times New Roman" w:cs="Times New Roman"/>
        </w:rPr>
        <w:t>Lorin</w:t>
      </w:r>
      <w:proofErr w:type="spellEnd"/>
      <w:r>
        <w:rPr>
          <w:rFonts w:ascii="Times New Roman" w:hAnsi="Times New Roman" w:cs="Times New Roman"/>
        </w:rPr>
        <w:t xml:space="preserve"> W. and David R. Krathwohl, ed. </w:t>
      </w:r>
      <w:r>
        <w:rPr>
          <w:rFonts w:ascii="Times New Roman" w:hAnsi="Times New Roman" w:cs="Times New Roman"/>
          <w:i/>
        </w:rPr>
        <w:t xml:space="preserve">A Taxonomy for Learning, Teaching, and Assessing: A Revision of Bloom’s Taxonomy of Educational Objectives. </w:t>
      </w:r>
      <w:r>
        <w:rPr>
          <w:rFonts w:ascii="Times New Roman" w:hAnsi="Times New Roman" w:cs="Times New Roman"/>
        </w:rPr>
        <w:t>New York: Longman, 2001.</w:t>
      </w:r>
    </w:p>
    <w:p w14:paraId="36504C67" w14:textId="418FEAA7" w:rsidR="009A1FBA" w:rsidRPr="009A1FBA" w:rsidRDefault="009A1FBA" w:rsidP="00E2695B">
      <w:pPr>
        <w:ind w:left="720" w:hanging="720"/>
        <w:rPr>
          <w:rFonts w:ascii="Times New Roman" w:hAnsi="Times New Roman" w:cs="Times New Roman"/>
        </w:rPr>
      </w:pPr>
    </w:p>
    <w:p w14:paraId="4929DD56" w14:textId="29BEAF6D" w:rsidR="009A1FBA" w:rsidRPr="009A1FBA" w:rsidRDefault="009A1FBA" w:rsidP="00E2695B">
      <w:pPr>
        <w:ind w:left="720" w:hanging="720"/>
        <w:rPr>
          <w:rFonts w:ascii="Times New Roman" w:hAnsi="Times New Roman" w:cs="Times New Roman"/>
        </w:rPr>
      </w:pPr>
      <w:r w:rsidRPr="009A1FBA">
        <w:rPr>
          <w:rFonts w:ascii="Times New Roman" w:hAnsi="Times New Roman" w:cs="Times New Roman"/>
        </w:rPr>
        <w:t>Berryman,</w:t>
      </w:r>
      <w:r>
        <w:rPr>
          <w:rFonts w:ascii="Times New Roman" w:hAnsi="Times New Roman" w:cs="Times New Roman"/>
        </w:rPr>
        <w:t xml:space="preserve"> Jerome W.</w:t>
      </w:r>
      <w:r w:rsidRPr="009A1FBA">
        <w:rPr>
          <w:rFonts w:ascii="Times New Roman" w:hAnsi="Times New Roman" w:cs="Times New Roman"/>
        </w:rPr>
        <w:t xml:space="preserve"> </w:t>
      </w:r>
      <w:r w:rsidRPr="009A1FBA">
        <w:rPr>
          <w:rFonts w:ascii="Times New Roman" w:hAnsi="Times New Roman" w:cs="Times New Roman"/>
          <w:i/>
        </w:rPr>
        <w:t>Godly Play: A Way of Religious Education</w:t>
      </w:r>
      <w:r>
        <w:rPr>
          <w:rFonts w:ascii="Times New Roman" w:hAnsi="Times New Roman" w:cs="Times New Roman"/>
          <w:i/>
        </w:rPr>
        <w:t xml:space="preserve">. </w:t>
      </w:r>
      <w:r w:rsidRPr="009A1FBA">
        <w:rPr>
          <w:rFonts w:ascii="Times New Roman" w:hAnsi="Times New Roman" w:cs="Times New Roman"/>
        </w:rPr>
        <w:t>San Francisco: HarperCollins, 1991</w:t>
      </w:r>
      <w:r>
        <w:rPr>
          <w:rFonts w:ascii="Times New Roman" w:hAnsi="Times New Roman" w:cs="Times New Roman"/>
        </w:rPr>
        <w:t>.</w:t>
      </w:r>
    </w:p>
    <w:p w14:paraId="1EAC1178" w14:textId="77777777" w:rsidR="00E2695B" w:rsidRDefault="00E2695B" w:rsidP="00E2695B">
      <w:pPr>
        <w:ind w:left="720" w:hanging="720"/>
        <w:rPr>
          <w:rFonts w:ascii="Times New Roman" w:hAnsi="Times New Roman" w:cs="Times New Roman"/>
        </w:rPr>
      </w:pPr>
    </w:p>
    <w:p w14:paraId="4A26FDDD" w14:textId="77777777" w:rsidR="00E2695B" w:rsidRDefault="00E2695B" w:rsidP="00E2695B">
      <w:pPr>
        <w:ind w:left="720" w:hanging="720"/>
        <w:rPr>
          <w:rFonts w:ascii="Times New Roman" w:hAnsi="Times New Roman" w:cs="Times New Roman"/>
        </w:rPr>
      </w:pPr>
      <w:r>
        <w:rPr>
          <w:rFonts w:ascii="Times New Roman" w:hAnsi="Times New Roman" w:cs="Times New Roman"/>
        </w:rPr>
        <w:t xml:space="preserve">Brown, William P. </w:t>
      </w:r>
      <w:r>
        <w:rPr>
          <w:rFonts w:ascii="Times New Roman" w:hAnsi="Times New Roman" w:cs="Times New Roman"/>
          <w:i/>
        </w:rPr>
        <w:t xml:space="preserve">Wisdom’s Wonder: Character, Creation, and Crisis in the Bible’s Wisdom Literature. </w:t>
      </w:r>
      <w:r>
        <w:rPr>
          <w:rFonts w:ascii="Times New Roman" w:hAnsi="Times New Roman" w:cs="Times New Roman"/>
        </w:rPr>
        <w:t>Grand Rapids: Eerdmans, 2014.</w:t>
      </w:r>
    </w:p>
    <w:p w14:paraId="54E5D5E2" w14:textId="77777777" w:rsidR="00E2695B" w:rsidRDefault="00E2695B" w:rsidP="00E2695B">
      <w:pPr>
        <w:ind w:left="720" w:hanging="720"/>
        <w:rPr>
          <w:rFonts w:ascii="Times New Roman" w:hAnsi="Times New Roman" w:cs="Times New Roman"/>
        </w:rPr>
      </w:pPr>
    </w:p>
    <w:p w14:paraId="104B2DB3" w14:textId="77777777" w:rsidR="00E2695B" w:rsidRDefault="00E2695B" w:rsidP="00E2695B">
      <w:pPr>
        <w:ind w:left="720" w:hanging="720"/>
        <w:rPr>
          <w:rFonts w:ascii="Times New Roman" w:hAnsi="Times New Roman" w:cs="Times New Roman"/>
        </w:rPr>
      </w:pPr>
      <w:r>
        <w:rPr>
          <w:rFonts w:ascii="Times New Roman" w:hAnsi="Times New Roman" w:cs="Times New Roman"/>
        </w:rPr>
        <w:t xml:space="preserve">Corrie, Elizabeth W. </w:t>
      </w:r>
      <w:r>
        <w:rPr>
          <w:rFonts w:ascii="Times New Roman" w:hAnsi="Times New Roman" w:cs="Times New Roman"/>
          <w:i/>
        </w:rPr>
        <w:t xml:space="preserve">Youth Ministry as Peace Education: Overcoming Silence, Transforming Violence. </w:t>
      </w:r>
      <w:r>
        <w:rPr>
          <w:rFonts w:ascii="Times New Roman" w:hAnsi="Times New Roman" w:cs="Times New Roman"/>
        </w:rPr>
        <w:t>Minneapolis: Fortress, 2021.</w:t>
      </w:r>
    </w:p>
    <w:p w14:paraId="2F24E367" w14:textId="77777777" w:rsidR="00E2695B" w:rsidRDefault="00E2695B" w:rsidP="00E2695B">
      <w:pPr>
        <w:ind w:left="720" w:hanging="720"/>
        <w:rPr>
          <w:rFonts w:ascii="Times New Roman" w:hAnsi="Times New Roman" w:cs="Times New Roman"/>
        </w:rPr>
      </w:pPr>
    </w:p>
    <w:p w14:paraId="3534A2D0" w14:textId="77777777" w:rsidR="00E2695B" w:rsidRPr="008A6AA7" w:rsidRDefault="00E2695B" w:rsidP="00E2695B">
      <w:pPr>
        <w:ind w:left="720" w:hanging="720"/>
        <w:rPr>
          <w:rFonts w:ascii="Times New Roman" w:hAnsi="Times New Roman" w:cs="Times New Roman"/>
        </w:rPr>
      </w:pPr>
      <w:r>
        <w:rPr>
          <w:rFonts w:ascii="Times New Roman" w:hAnsi="Times New Roman" w:cs="Times New Roman"/>
        </w:rPr>
        <w:t xml:space="preserve">Craddock, Fred B. </w:t>
      </w:r>
      <w:r>
        <w:rPr>
          <w:rFonts w:ascii="Times New Roman" w:hAnsi="Times New Roman" w:cs="Times New Roman"/>
          <w:i/>
        </w:rPr>
        <w:t xml:space="preserve">Craddock Stories. </w:t>
      </w:r>
      <w:r>
        <w:rPr>
          <w:rFonts w:ascii="Times New Roman" w:hAnsi="Times New Roman" w:cs="Times New Roman"/>
        </w:rPr>
        <w:t>Ed. Mike Graves and Richard F. Ward. St. Louis: Chalice Press, 2001.</w:t>
      </w:r>
    </w:p>
    <w:p w14:paraId="3F56C879" w14:textId="77777777" w:rsidR="00E2695B" w:rsidRDefault="00E2695B" w:rsidP="00E2695B">
      <w:pPr>
        <w:ind w:left="720" w:hanging="720"/>
        <w:rPr>
          <w:rFonts w:ascii="Times New Roman" w:hAnsi="Times New Roman" w:cs="Times New Roman"/>
        </w:rPr>
      </w:pPr>
    </w:p>
    <w:p w14:paraId="7F55ABA9" w14:textId="77777777" w:rsidR="00E2695B" w:rsidRPr="008A6AA7" w:rsidRDefault="00E2695B" w:rsidP="00E2695B">
      <w:pPr>
        <w:ind w:left="720" w:hanging="720"/>
        <w:rPr>
          <w:rFonts w:ascii="Times New Roman" w:hAnsi="Times New Roman" w:cs="Times New Roman"/>
        </w:rPr>
      </w:pPr>
      <w:r>
        <w:rPr>
          <w:rFonts w:ascii="Times New Roman" w:hAnsi="Times New Roman" w:cs="Times New Roman"/>
        </w:rPr>
        <w:t xml:space="preserve">Dean, Kenda Creasy. “Fessing Up: Owning Our Theological Commitments.” </w:t>
      </w:r>
      <w:r>
        <w:rPr>
          <w:rFonts w:ascii="Times New Roman" w:hAnsi="Times New Roman" w:cs="Times New Roman"/>
          <w:i/>
        </w:rPr>
        <w:t xml:space="preserve">Starting Right: Thinking Theologically About Youth Ministry. </w:t>
      </w:r>
      <w:r>
        <w:rPr>
          <w:rFonts w:ascii="Times New Roman" w:hAnsi="Times New Roman" w:cs="Times New Roman"/>
        </w:rPr>
        <w:t xml:space="preserve">Ed. Kenda Creasy Dean, Chap Clark, and Dave </w:t>
      </w:r>
      <w:proofErr w:type="spellStart"/>
      <w:r>
        <w:rPr>
          <w:rFonts w:ascii="Times New Roman" w:hAnsi="Times New Roman" w:cs="Times New Roman"/>
        </w:rPr>
        <w:t>Rahn</w:t>
      </w:r>
      <w:proofErr w:type="spellEnd"/>
      <w:r>
        <w:rPr>
          <w:rFonts w:ascii="Times New Roman" w:hAnsi="Times New Roman" w:cs="Times New Roman"/>
        </w:rPr>
        <w:t>. Grand Rapids: Zondervan, 2001.</w:t>
      </w:r>
    </w:p>
    <w:p w14:paraId="14A76D34" w14:textId="77777777" w:rsidR="00E2695B" w:rsidRDefault="00E2695B" w:rsidP="00E2695B">
      <w:pPr>
        <w:ind w:left="720" w:hanging="720"/>
        <w:rPr>
          <w:rFonts w:ascii="Times New Roman" w:hAnsi="Times New Roman" w:cs="Times New Roman"/>
        </w:rPr>
      </w:pPr>
    </w:p>
    <w:p w14:paraId="761532A3" w14:textId="77777777" w:rsidR="00E2695B" w:rsidRDefault="00E2695B" w:rsidP="00E2695B">
      <w:pPr>
        <w:ind w:left="720" w:hanging="720"/>
        <w:rPr>
          <w:rFonts w:ascii="Times New Roman" w:hAnsi="Times New Roman" w:cs="Times New Roman"/>
        </w:rPr>
      </w:pPr>
      <w:r>
        <w:rPr>
          <w:rFonts w:ascii="Times New Roman" w:hAnsi="Times New Roman" w:cs="Times New Roman"/>
        </w:rPr>
        <w:t xml:space="preserve">Eisner, Elliott. </w:t>
      </w:r>
      <w:r>
        <w:rPr>
          <w:rFonts w:ascii="Times New Roman" w:hAnsi="Times New Roman" w:cs="Times New Roman"/>
          <w:i/>
        </w:rPr>
        <w:t xml:space="preserve">The Educational Imagination: On the Design and Evaluation of School Programs. </w:t>
      </w:r>
      <w:r>
        <w:rPr>
          <w:rFonts w:ascii="Times New Roman" w:hAnsi="Times New Roman" w:cs="Times New Roman"/>
        </w:rPr>
        <w:t>New York: Macmillan, 1984.</w:t>
      </w:r>
    </w:p>
    <w:p w14:paraId="264493BF" w14:textId="77777777" w:rsidR="00E2695B" w:rsidRDefault="00E2695B" w:rsidP="00E2695B">
      <w:pPr>
        <w:pStyle w:val="NormalWeb"/>
        <w:ind w:left="720" w:hanging="720"/>
        <w:rPr>
          <w:rFonts w:ascii="TimesNewRomanPSMT" w:hAnsi="TimesNewRomanPSMT" w:cs="TimesNewRomanPSMT"/>
        </w:rPr>
      </w:pPr>
      <w:r>
        <w:t xml:space="preserve">Freire, Paulo. </w:t>
      </w:r>
      <w:r>
        <w:rPr>
          <w:rFonts w:ascii="TimesNewRomanPS" w:hAnsi="TimesNewRomanPS"/>
          <w:i/>
          <w:iCs/>
        </w:rPr>
        <w:t xml:space="preserve">Pedagogy of the Oppressed. </w:t>
      </w:r>
      <w:r>
        <w:rPr>
          <w:rFonts w:ascii="TimesNewRomanPSMT" w:hAnsi="TimesNewRomanPSMT" w:cs="TimesNewRomanPSMT"/>
        </w:rPr>
        <w:t>30</w:t>
      </w:r>
      <w:proofErr w:type="spellStart"/>
      <w:r>
        <w:rPr>
          <w:rFonts w:ascii="TimesNewRomanPSMT" w:hAnsi="TimesNewRomanPSMT" w:cs="TimesNewRomanPSMT"/>
          <w:position w:val="8"/>
          <w:sz w:val="16"/>
          <w:szCs w:val="16"/>
        </w:rPr>
        <w:t>th</w:t>
      </w:r>
      <w:proofErr w:type="spellEnd"/>
      <w:r>
        <w:rPr>
          <w:rFonts w:ascii="TimesNewRomanPSMT" w:hAnsi="TimesNewRomanPSMT" w:cs="TimesNewRomanPSMT"/>
          <w:position w:val="8"/>
          <w:sz w:val="16"/>
          <w:szCs w:val="16"/>
        </w:rPr>
        <w:t xml:space="preserve"> </w:t>
      </w:r>
      <w:r>
        <w:rPr>
          <w:rFonts w:ascii="TimesNewRomanPSMT" w:hAnsi="TimesNewRomanPSMT" w:cs="TimesNewRomanPSMT"/>
        </w:rPr>
        <w:t xml:space="preserve">anniversary ed. Translated by Myra Bergman Ramos. New York: Bloomsbury, 2017. </w:t>
      </w:r>
    </w:p>
    <w:p w14:paraId="2FE4DC08" w14:textId="77777777" w:rsidR="00E2695B" w:rsidRPr="008A6AA7" w:rsidRDefault="00E2695B" w:rsidP="00E2695B">
      <w:pPr>
        <w:pStyle w:val="NormalWeb"/>
        <w:ind w:left="720" w:hanging="720"/>
        <w:rPr>
          <w:rFonts w:ascii="TimesNewRomanPSMT" w:hAnsi="TimesNewRomanPSMT" w:cs="TimesNewRomanPSMT"/>
        </w:rPr>
      </w:pPr>
      <w:r>
        <w:rPr>
          <w:rFonts w:ascii="TimesNewRomanPSMT" w:hAnsi="TimesNewRomanPSMT" w:cs="TimesNewRomanPSMT"/>
        </w:rPr>
        <w:t xml:space="preserve">Mahan, Brian J., Michael Warren, and David F. White. </w:t>
      </w:r>
      <w:r>
        <w:rPr>
          <w:rFonts w:ascii="TimesNewRomanPSMT" w:hAnsi="TimesNewRomanPSMT" w:cs="TimesNewRomanPSMT"/>
          <w:i/>
        </w:rPr>
        <w:t xml:space="preserve">Awakening Youth Discipleship: Christian Resistance in a Consumer Culture. </w:t>
      </w:r>
      <w:r>
        <w:rPr>
          <w:rFonts w:ascii="TimesNewRomanPSMT" w:hAnsi="TimesNewRomanPSMT" w:cs="TimesNewRomanPSMT"/>
        </w:rPr>
        <w:t>Eugene: Cascade Books, 2008.</w:t>
      </w:r>
    </w:p>
    <w:p w14:paraId="79D9E9FB" w14:textId="77777777" w:rsidR="00E2695B" w:rsidRDefault="00E2695B" w:rsidP="00E2695B">
      <w:pPr>
        <w:pStyle w:val="NormalWeb"/>
        <w:ind w:left="720" w:hanging="720"/>
      </w:pPr>
      <w:r>
        <w:rPr>
          <w:rFonts w:ascii="TimesNewRomanPSMT" w:hAnsi="TimesNewRomanPSMT" w:cs="TimesNewRomanPSMT"/>
        </w:rPr>
        <w:t xml:space="preserve">Quinn, Rob. </w:t>
      </w:r>
      <w:r>
        <w:rPr>
          <w:rFonts w:ascii="TimesNewRomanPS" w:hAnsi="TimesNewRomanPS"/>
          <w:i/>
          <w:iCs/>
        </w:rPr>
        <w:t xml:space="preserve">Proverbs: How to Be Wise. </w:t>
      </w:r>
      <w:r>
        <w:rPr>
          <w:rFonts w:ascii="TimesNewRomanPSMT" w:hAnsi="TimesNewRomanPSMT" w:cs="TimesNewRomanPSMT"/>
        </w:rPr>
        <w:t xml:space="preserve">Edited by Sue Verner. MinistrytoYouth.com. Accessed September 27, 2022. Available for download at </w:t>
      </w:r>
      <w:r>
        <w:rPr>
          <w:rFonts w:ascii="TimesNewRomanPSMT" w:hAnsi="TimesNewRomanPSMT" w:cs="TimesNewRomanPSMT"/>
          <w:color w:val="0260BF"/>
        </w:rPr>
        <w:t xml:space="preserve">https://ministry-to- youth.com/products/youth-group-lessons-proverbs. </w:t>
      </w:r>
    </w:p>
    <w:p w14:paraId="37F24289" w14:textId="77777777" w:rsidR="00E2695B" w:rsidRDefault="00E2695B" w:rsidP="00E2695B">
      <w:pPr>
        <w:ind w:left="720" w:hanging="720"/>
        <w:rPr>
          <w:rFonts w:ascii="Times New Roman" w:hAnsi="Times New Roman" w:cs="Times New Roman"/>
        </w:rPr>
      </w:pPr>
      <w:r>
        <w:rPr>
          <w:rFonts w:ascii="Times New Roman" w:hAnsi="Times New Roman" w:cs="Times New Roman"/>
        </w:rPr>
        <w:t xml:space="preserve">Root, Andrew. </w:t>
      </w:r>
      <w:r>
        <w:rPr>
          <w:rFonts w:ascii="Times New Roman" w:hAnsi="Times New Roman" w:cs="Times New Roman"/>
          <w:i/>
        </w:rPr>
        <w:t xml:space="preserve">Unpacking Scripture in Youth Ministry. </w:t>
      </w:r>
      <w:r>
        <w:rPr>
          <w:rFonts w:ascii="Times New Roman" w:hAnsi="Times New Roman" w:cs="Times New Roman"/>
        </w:rPr>
        <w:t>A Theological Journey Through Youth Ministry. Grand Rapids: Zondervan, 2012.</w:t>
      </w:r>
    </w:p>
    <w:p w14:paraId="63EF6173" w14:textId="77777777" w:rsidR="00E2695B" w:rsidRDefault="00E2695B" w:rsidP="00E2695B">
      <w:pPr>
        <w:ind w:left="720" w:hanging="720"/>
        <w:rPr>
          <w:rFonts w:ascii="Times New Roman" w:hAnsi="Times New Roman" w:cs="Times New Roman"/>
        </w:rPr>
      </w:pPr>
    </w:p>
    <w:p w14:paraId="717A7741" w14:textId="77777777" w:rsidR="00E2695B" w:rsidRPr="008A6AA7" w:rsidRDefault="00E2695B" w:rsidP="00E2695B">
      <w:pPr>
        <w:ind w:left="720" w:hanging="720"/>
        <w:rPr>
          <w:rFonts w:ascii="Times New Roman" w:hAnsi="Times New Roman" w:cs="Times New Roman"/>
        </w:rPr>
      </w:pPr>
      <w:r>
        <w:rPr>
          <w:rFonts w:ascii="Times New Roman" w:hAnsi="Times New Roman" w:cs="Times New Roman"/>
        </w:rPr>
        <w:t xml:space="preserve">Rubenstein, Mary-Jane. </w:t>
      </w:r>
      <w:r>
        <w:rPr>
          <w:rFonts w:ascii="Times New Roman" w:hAnsi="Times New Roman" w:cs="Times New Roman"/>
          <w:i/>
        </w:rPr>
        <w:t xml:space="preserve">Strange Wonder: The Closure of Metaphysics and the Opening of Awe. </w:t>
      </w:r>
      <w:r>
        <w:rPr>
          <w:rFonts w:ascii="Times New Roman" w:hAnsi="Times New Roman" w:cs="Times New Roman"/>
        </w:rPr>
        <w:t>New York: Columbia University Press, 2008.</w:t>
      </w:r>
    </w:p>
    <w:p w14:paraId="023DE9D6" w14:textId="77777777" w:rsidR="00E2695B" w:rsidRDefault="00E2695B" w:rsidP="00E2695B">
      <w:pPr>
        <w:ind w:left="720" w:hanging="720"/>
        <w:rPr>
          <w:rFonts w:ascii="Times New Roman" w:hAnsi="Times New Roman" w:cs="Times New Roman"/>
        </w:rPr>
      </w:pPr>
    </w:p>
    <w:p w14:paraId="1C40558A" w14:textId="77777777" w:rsidR="00E2695B" w:rsidRPr="008A6AA7" w:rsidRDefault="00E2695B" w:rsidP="00E2695B">
      <w:pPr>
        <w:ind w:left="720" w:hanging="720"/>
        <w:rPr>
          <w:rFonts w:ascii="Times New Roman" w:hAnsi="Times New Roman" w:cs="Times New Roman"/>
        </w:rPr>
      </w:pPr>
      <w:r>
        <w:rPr>
          <w:rFonts w:ascii="Times New Roman" w:hAnsi="Times New Roman" w:cs="Times New Roman"/>
        </w:rPr>
        <w:t xml:space="preserve">Schinkel, Anders, ed. </w:t>
      </w:r>
      <w:r>
        <w:rPr>
          <w:rFonts w:ascii="Times New Roman" w:hAnsi="Times New Roman" w:cs="Times New Roman"/>
          <w:i/>
        </w:rPr>
        <w:t xml:space="preserve">Wonder, Education, and Human Flourishing: Theoretical and Practical Perspectives. </w:t>
      </w:r>
      <w:r>
        <w:rPr>
          <w:rFonts w:ascii="Times New Roman" w:hAnsi="Times New Roman" w:cs="Times New Roman"/>
        </w:rPr>
        <w:t>Amsterdam: VU University Press, 2020.</w:t>
      </w:r>
    </w:p>
    <w:p w14:paraId="6B1E5BB6" w14:textId="77777777" w:rsidR="00E2695B" w:rsidRDefault="00E2695B" w:rsidP="00E2695B">
      <w:pPr>
        <w:pStyle w:val="NormalWeb"/>
        <w:ind w:left="720" w:hanging="720"/>
        <w:rPr>
          <w:rFonts w:ascii="TimesNewRomanPSMT" w:hAnsi="TimesNewRomanPSMT" w:cs="TimesNewRomanPSMT"/>
        </w:rPr>
      </w:pPr>
      <w:r>
        <w:rPr>
          <w:rFonts w:ascii="TimesNewRomanPSMT" w:hAnsi="TimesNewRomanPSMT" w:cs="TimesNewRomanPSMT"/>
        </w:rPr>
        <w:lastRenderedPageBreak/>
        <w:t xml:space="preserve">Sternberg, Robert J., Alina </w:t>
      </w:r>
      <w:proofErr w:type="spellStart"/>
      <w:r>
        <w:rPr>
          <w:rFonts w:ascii="TimesNewRomanPSMT" w:hAnsi="TimesNewRomanPSMT" w:cs="TimesNewRomanPSMT"/>
        </w:rPr>
        <w:t>Reznitskaya</w:t>
      </w:r>
      <w:proofErr w:type="spellEnd"/>
      <w:r>
        <w:rPr>
          <w:rFonts w:ascii="TimesNewRomanPSMT" w:hAnsi="TimesNewRomanPSMT" w:cs="TimesNewRomanPSMT"/>
        </w:rPr>
        <w:t xml:space="preserve">, and Linda </w:t>
      </w:r>
      <w:proofErr w:type="spellStart"/>
      <w:r>
        <w:rPr>
          <w:rFonts w:ascii="TimesNewRomanPSMT" w:hAnsi="TimesNewRomanPSMT" w:cs="TimesNewRomanPSMT"/>
        </w:rPr>
        <w:t>Jarvin</w:t>
      </w:r>
      <w:proofErr w:type="spellEnd"/>
      <w:r>
        <w:rPr>
          <w:rFonts w:ascii="TimesNewRomanPSMT" w:hAnsi="TimesNewRomanPSMT" w:cs="TimesNewRomanPSMT"/>
        </w:rPr>
        <w:t xml:space="preserve">. “Teaching for Wisdom: What Matters is Not Just What Students Know, But How They Use It.” </w:t>
      </w:r>
      <w:r>
        <w:rPr>
          <w:rFonts w:ascii="TimesNewRomanPS" w:hAnsi="TimesNewRomanPS"/>
          <w:i/>
          <w:iCs/>
        </w:rPr>
        <w:t xml:space="preserve">London Review of Education </w:t>
      </w:r>
      <w:r>
        <w:rPr>
          <w:rFonts w:ascii="TimesNewRomanPSMT" w:hAnsi="TimesNewRomanPSMT" w:cs="TimesNewRomanPSMT"/>
        </w:rPr>
        <w:t xml:space="preserve">5, no. 2 (2007): 143-158. https://doi.org/10.1080/14748460701440830. </w:t>
      </w:r>
    </w:p>
    <w:p w14:paraId="06B13807" w14:textId="77777777" w:rsidR="00E2695B" w:rsidRPr="008A6AA7" w:rsidRDefault="00E2695B" w:rsidP="00E2695B">
      <w:pPr>
        <w:pStyle w:val="NormalWeb"/>
        <w:ind w:left="720" w:hanging="720"/>
      </w:pPr>
      <w:r>
        <w:t xml:space="preserve">White, David F. </w:t>
      </w:r>
      <w:r>
        <w:rPr>
          <w:i/>
        </w:rPr>
        <w:t xml:space="preserve">Practicing Discernment with Youth: A Transformative Ministry Approach. </w:t>
      </w:r>
      <w:r>
        <w:t>Youth Ministry Alternatives. Cleveland: Pilgrim Press, 2005.</w:t>
      </w:r>
    </w:p>
    <w:p w14:paraId="57BF0F07" w14:textId="77777777" w:rsidR="00E2695B" w:rsidRPr="008A6AA7" w:rsidRDefault="00E2695B" w:rsidP="00E2695B">
      <w:pPr>
        <w:ind w:left="720" w:hanging="720"/>
        <w:rPr>
          <w:rFonts w:ascii="Times New Roman" w:hAnsi="Times New Roman" w:cs="Times New Roman"/>
        </w:rPr>
      </w:pPr>
      <w:proofErr w:type="spellStart"/>
      <w:r>
        <w:rPr>
          <w:rFonts w:ascii="Times New Roman" w:hAnsi="Times New Roman" w:cs="Times New Roman"/>
        </w:rPr>
        <w:t>Zirschky</w:t>
      </w:r>
      <w:proofErr w:type="spellEnd"/>
      <w:r>
        <w:rPr>
          <w:rFonts w:ascii="Times New Roman" w:hAnsi="Times New Roman" w:cs="Times New Roman"/>
        </w:rPr>
        <w:t xml:space="preserve">, Andrew. </w:t>
      </w:r>
      <w:r>
        <w:rPr>
          <w:rFonts w:ascii="Times New Roman" w:hAnsi="Times New Roman" w:cs="Times New Roman"/>
          <w:i/>
        </w:rPr>
        <w:t xml:space="preserve">Teaching Outside the Box: Five Approaches to Opening the Bible with Youth. </w:t>
      </w:r>
      <w:r>
        <w:rPr>
          <w:rFonts w:ascii="Times New Roman" w:hAnsi="Times New Roman" w:cs="Times New Roman"/>
        </w:rPr>
        <w:t>Nashville: Abingdon, 2017.</w:t>
      </w:r>
    </w:p>
    <w:p w14:paraId="3017BD42" w14:textId="77777777" w:rsidR="00E2695B" w:rsidRPr="00440C31" w:rsidRDefault="00E2695B" w:rsidP="00E2695B">
      <w:pPr>
        <w:spacing w:line="480" w:lineRule="auto"/>
        <w:jc w:val="center"/>
        <w:rPr>
          <w:rFonts w:ascii="Times New Roman" w:hAnsi="Times New Roman" w:cs="Times New Roman"/>
        </w:rPr>
      </w:pPr>
    </w:p>
    <w:sectPr w:rsidR="00E2695B" w:rsidRPr="00440C31" w:rsidSect="00E6566D">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FD789" w14:textId="77777777" w:rsidR="002A7127" w:rsidRDefault="002A7127" w:rsidP="000F5B58">
      <w:r>
        <w:separator/>
      </w:r>
    </w:p>
  </w:endnote>
  <w:endnote w:type="continuationSeparator" w:id="0">
    <w:p w14:paraId="6D2FFAFB" w14:textId="77777777" w:rsidR="002A7127" w:rsidRDefault="002A7127" w:rsidP="000F5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imesNewRomanPSMT">
    <w:panose1 w:val="02020603050405020304"/>
    <w:charset w:val="00"/>
    <w:family w:val="roman"/>
    <w:pitch w:val="variable"/>
    <w:sig w:usb0="E0002AEF" w:usb1="C0007841" w:usb2="00000009" w:usb3="00000000" w:csb0="000001FF" w:csb1="00000000"/>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0801552"/>
      <w:docPartObj>
        <w:docPartGallery w:val="Page Numbers (Bottom of Page)"/>
        <w:docPartUnique/>
      </w:docPartObj>
    </w:sdtPr>
    <w:sdtContent>
      <w:p w14:paraId="6A0E9DA7" w14:textId="4F6A0E00" w:rsidR="007F538F" w:rsidRDefault="007F538F" w:rsidP="00231B1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69A5E8" w14:textId="77777777" w:rsidR="007F538F" w:rsidRDefault="007F53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86325245"/>
      <w:docPartObj>
        <w:docPartGallery w:val="Page Numbers (Bottom of Page)"/>
        <w:docPartUnique/>
      </w:docPartObj>
    </w:sdtPr>
    <w:sdtContent>
      <w:p w14:paraId="1A0DEAAC" w14:textId="5748C3B5" w:rsidR="007F538F" w:rsidRDefault="007F538F" w:rsidP="00231B1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9D3BDA" w14:textId="77777777" w:rsidR="007F538F" w:rsidRDefault="007F5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6A9FF" w14:textId="77777777" w:rsidR="002A7127" w:rsidRDefault="002A7127" w:rsidP="000F5B58">
      <w:r>
        <w:separator/>
      </w:r>
    </w:p>
  </w:footnote>
  <w:footnote w:type="continuationSeparator" w:id="0">
    <w:p w14:paraId="4F771A79" w14:textId="77777777" w:rsidR="002A7127" w:rsidRDefault="002A7127" w:rsidP="000F5B58">
      <w:r>
        <w:continuationSeparator/>
      </w:r>
    </w:p>
  </w:footnote>
  <w:footnote w:id="1">
    <w:p w14:paraId="22929858" w14:textId="4832586F" w:rsidR="00EB0FC2" w:rsidRPr="00EB0FC2" w:rsidRDefault="00EB0FC2" w:rsidP="00EB0FC2">
      <w:pPr>
        <w:pStyle w:val="FootnoteText"/>
        <w:ind w:firstLine="720"/>
        <w:rPr>
          <w:rFonts w:ascii="Times New Roman" w:hAnsi="Times New Roman" w:cs="Times New Roman"/>
          <w:sz w:val="20"/>
          <w:szCs w:val="20"/>
        </w:rPr>
      </w:pPr>
      <w:r w:rsidRPr="00EB0FC2">
        <w:rPr>
          <w:rStyle w:val="FootnoteReference"/>
          <w:rFonts w:ascii="Times New Roman" w:hAnsi="Times New Roman" w:cs="Times New Roman"/>
          <w:sz w:val="20"/>
          <w:szCs w:val="20"/>
        </w:rPr>
        <w:footnoteRef/>
      </w:r>
      <w:r w:rsidRPr="00EB0FC2">
        <w:rPr>
          <w:rFonts w:ascii="Times New Roman" w:hAnsi="Times New Roman" w:cs="Times New Roman"/>
          <w:sz w:val="20"/>
          <w:szCs w:val="20"/>
        </w:rPr>
        <w:t xml:space="preserve"> The “null curriculum,” the content that is </w:t>
      </w:r>
      <w:r w:rsidRPr="00EB0FC2">
        <w:rPr>
          <w:rFonts w:ascii="Times New Roman" w:hAnsi="Times New Roman" w:cs="Times New Roman"/>
          <w:i/>
          <w:sz w:val="20"/>
          <w:szCs w:val="20"/>
        </w:rPr>
        <w:t xml:space="preserve">not </w:t>
      </w:r>
      <w:r w:rsidRPr="00EB0FC2">
        <w:rPr>
          <w:rFonts w:ascii="Times New Roman" w:hAnsi="Times New Roman" w:cs="Times New Roman"/>
          <w:sz w:val="20"/>
          <w:szCs w:val="20"/>
        </w:rPr>
        <w:t xml:space="preserve">taught, is one of the “three curricula” – explicit, implicit, and null – identified by Elliott Eisner, </w:t>
      </w:r>
      <w:r w:rsidRPr="00EB0FC2">
        <w:rPr>
          <w:rFonts w:ascii="Times New Roman" w:hAnsi="Times New Roman" w:cs="Times New Roman"/>
          <w:i/>
          <w:sz w:val="20"/>
          <w:szCs w:val="20"/>
        </w:rPr>
        <w:t xml:space="preserve">The Educational Imagination: On the Design and Evaluation of School Programs </w:t>
      </w:r>
      <w:r w:rsidRPr="00EB0FC2">
        <w:rPr>
          <w:rFonts w:ascii="Times New Roman" w:hAnsi="Times New Roman" w:cs="Times New Roman"/>
          <w:sz w:val="20"/>
          <w:szCs w:val="20"/>
        </w:rPr>
        <w:t>(New York</w:t>
      </w:r>
      <w:r w:rsidR="008617D9">
        <w:rPr>
          <w:rFonts w:ascii="Times New Roman" w:hAnsi="Times New Roman" w:cs="Times New Roman"/>
          <w:sz w:val="20"/>
          <w:szCs w:val="20"/>
        </w:rPr>
        <w:t>:</w:t>
      </w:r>
      <w:r w:rsidRPr="00EB0FC2">
        <w:rPr>
          <w:rFonts w:ascii="Times New Roman" w:hAnsi="Times New Roman" w:cs="Times New Roman"/>
          <w:sz w:val="20"/>
          <w:szCs w:val="20"/>
        </w:rPr>
        <w:t xml:space="preserve"> Macmillan, 1984), </w:t>
      </w:r>
      <w:proofErr w:type="spellStart"/>
      <w:r w:rsidRPr="00EB0FC2">
        <w:rPr>
          <w:rFonts w:ascii="Times New Roman" w:hAnsi="Times New Roman" w:cs="Times New Roman"/>
          <w:sz w:val="20"/>
          <w:szCs w:val="20"/>
        </w:rPr>
        <w:t>ch.</w:t>
      </w:r>
      <w:proofErr w:type="spellEnd"/>
      <w:r w:rsidRPr="00EB0FC2">
        <w:rPr>
          <w:rFonts w:ascii="Times New Roman" w:hAnsi="Times New Roman" w:cs="Times New Roman"/>
          <w:sz w:val="20"/>
          <w:szCs w:val="20"/>
        </w:rPr>
        <w:t xml:space="preserve"> 4.</w:t>
      </w:r>
    </w:p>
  </w:footnote>
  <w:footnote w:id="2">
    <w:p w14:paraId="08510277" w14:textId="27BE91B4" w:rsidR="00EB0FC2" w:rsidRPr="00EB0FC2" w:rsidRDefault="00EB0FC2" w:rsidP="00EB0FC2">
      <w:pPr>
        <w:pStyle w:val="FootnoteText"/>
        <w:ind w:firstLine="720"/>
        <w:rPr>
          <w:rFonts w:ascii="Times New Roman" w:hAnsi="Times New Roman" w:cs="Times New Roman"/>
          <w:sz w:val="20"/>
          <w:szCs w:val="20"/>
        </w:rPr>
      </w:pPr>
      <w:r w:rsidRPr="00EB0FC2">
        <w:rPr>
          <w:rStyle w:val="FootnoteReference"/>
          <w:rFonts w:ascii="Times New Roman" w:hAnsi="Times New Roman" w:cs="Times New Roman"/>
          <w:sz w:val="20"/>
          <w:szCs w:val="20"/>
        </w:rPr>
        <w:footnoteRef/>
      </w:r>
      <w:r w:rsidRPr="00EB0FC2">
        <w:rPr>
          <w:rFonts w:ascii="Times New Roman" w:hAnsi="Times New Roman" w:cs="Times New Roman"/>
          <w:sz w:val="20"/>
          <w:szCs w:val="20"/>
        </w:rPr>
        <w:t xml:space="preserve"> The “Big Idea” language comes from </w:t>
      </w:r>
      <w:r w:rsidRPr="00EB0FC2">
        <w:rPr>
          <w:rFonts w:ascii="Times New Roman" w:hAnsi="Times New Roman" w:cs="Times New Roman"/>
          <w:i/>
          <w:sz w:val="20"/>
          <w:szCs w:val="20"/>
        </w:rPr>
        <w:t xml:space="preserve">Grow </w:t>
      </w:r>
      <w:r w:rsidRPr="00EB0FC2">
        <w:rPr>
          <w:rFonts w:ascii="Times New Roman" w:hAnsi="Times New Roman" w:cs="Times New Roman"/>
          <w:sz w:val="20"/>
          <w:szCs w:val="20"/>
        </w:rPr>
        <w:t xml:space="preserve">youth curriculum; the “Central Truth” comes from Lifeway’s </w:t>
      </w:r>
      <w:r w:rsidRPr="00EB0FC2">
        <w:rPr>
          <w:rFonts w:ascii="Times New Roman" w:hAnsi="Times New Roman" w:cs="Times New Roman"/>
          <w:i/>
          <w:sz w:val="20"/>
          <w:szCs w:val="20"/>
        </w:rPr>
        <w:t xml:space="preserve">Explore the Bible </w:t>
      </w:r>
      <w:r w:rsidRPr="00EB0FC2">
        <w:rPr>
          <w:rFonts w:ascii="Times New Roman" w:hAnsi="Times New Roman" w:cs="Times New Roman"/>
          <w:sz w:val="20"/>
          <w:szCs w:val="20"/>
        </w:rPr>
        <w:t>curriculum; and the “Bottom Line” comes from Ministry to Youth.</w:t>
      </w:r>
    </w:p>
  </w:footnote>
  <w:footnote w:id="3">
    <w:p w14:paraId="718D02A7" w14:textId="6872FFB2" w:rsidR="00EB0FC2" w:rsidRPr="00EB0FC2" w:rsidRDefault="00EB0FC2" w:rsidP="00EB0FC2">
      <w:pPr>
        <w:pStyle w:val="FootnoteText"/>
        <w:ind w:firstLine="720"/>
        <w:rPr>
          <w:rFonts w:ascii="Times New Roman" w:hAnsi="Times New Roman" w:cs="Times New Roman"/>
          <w:sz w:val="20"/>
          <w:szCs w:val="20"/>
        </w:rPr>
      </w:pPr>
      <w:r w:rsidRPr="00EB0FC2">
        <w:rPr>
          <w:rStyle w:val="FootnoteReference"/>
          <w:rFonts w:ascii="Times New Roman" w:hAnsi="Times New Roman" w:cs="Times New Roman"/>
          <w:sz w:val="20"/>
          <w:szCs w:val="20"/>
        </w:rPr>
        <w:footnoteRef/>
      </w:r>
      <w:r w:rsidRPr="00EB0FC2">
        <w:rPr>
          <w:rFonts w:ascii="Times New Roman" w:hAnsi="Times New Roman" w:cs="Times New Roman"/>
          <w:sz w:val="20"/>
          <w:szCs w:val="20"/>
        </w:rPr>
        <w:t xml:space="preserve"> Illustrative games and activities often tell youth precisely what the “point” of the game is – typically the lesson’s takeaway, either verbatim or a lead-in to it. For example, for an opening activity in a Lifeway lesson on Ecclesiastes, students are shown several caution signs and asked to guess their meaning. The facilitator is then told to “point out that the purpose of each of these signs is to keep us safe from potential danger. Today we are going to see that God has placed two important tools in our lives to keep us safe…His Word and other believers.” Drew Dixon, ed., </w:t>
      </w:r>
      <w:r w:rsidRPr="00EB0FC2">
        <w:rPr>
          <w:rFonts w:ascii="Times New Roman" w:hAnsi="Times New Roman" w:cs="Times New Roman"/>
          <w:i/>
          <w:sz w:val="20"/>
          <w:szCs w:val="20"/>
        </w:rPr>
        <w:t xml:space="preserve">Job and Ecclesiastes Leader Guide, Explore the Bible for Students </w:t>
      </w:r>
      <w:r w:rsidRPr="00EB0FC2">
        <w:rPr>
          <w:rFonts w:ascii="Times New Roman" w:hAnsi="Times New Roman" w:cs="Times New Roman"/>
          <w:sz w:val="20"/>
          <w:szCs w:val="20"/>
        </w:rPr>
        <w:t>vol. 7, no. 4 (Nashville: Lifeway, 2021).</w:t>
      </w:r>
      <w:r w:rsidR="00044DD2">
        <w:rPr>
          <w:rFonts w:ascii="Times New Roman" w:hAnsi="Times New Roman" w:cs="Times New Roman"/>
          <w:sz w:val="20"/>
          <w:szCs w:val="20"/>
        </w:rPr>
        <w:t xml:space="preserve"> </w:t>
      </w:r>
    </w:p>
  </w:footnote>
  <w:footnote w:id="4">
    <w:p w14:paraId="61A5FBC5" w14:textId="1B195119" w:rsidR="000F5B58" w:rsidRPr="00056942" w:rsidRDefault="000F5B58" w:rsidP="000F5B58">
      <w:pPr>
        <w:pStyle w:val="FootnoteText"/>
        <w:ind w:firstLine="720"/>
        <w:rPr>
          <w:rFonts w:ascii="Times New Roman" w:hAnsi="Times New Roman" w:cs="Times New Roman"/>
        </w:rPr>
      </w:pPr>
      <w:r w:rsidRPr="007227F7">
        <w:rPr>
          <w:rStyle w:val="FootnoteReference"/>
          <w:rFonts w:ascii="Times New Roman" w:hAnsi="Times New Roman" w:cs="Times New Roman"/>
          <w:sz w:val="20"/>
        </w:rPr>
        <w:footnoteRef/>
      </w:r>
      <w:r w:rsidRPr="007227F7">
        <w:rPr>
          <w:rFonts w:ascii="Times New Roman" w:hAnsi="Times New Roman" w:cs="Times New Roman"/>
          <w:sz w:val="20"/>
        </w:rPr>
        <w:t xml:space="preserve"> </w:t>
      </w:r>
      <w:r w:rsidR="008617D9">
        <w:rPr>
          <w:rFonts w:ascii="Times New Roman" w:hAnsi="Times New Roman" w:cs="Times New Roman"/>
          <w:sz w:val="20"/>
        </w:rPr>
        <w:t xml:space="preserve">Andrew </w:t>
      </w:r>
      <w:proofErr w:type="spellStart"/>
      <w:r w:rsidRPr="007227F7">
        <w:rPr>
          <w:rFonts w:ascii="Times New Roman" w:hAnsi="Times New Roman" w:cs="Times New Roman"/>
          <w:sz w:val="20"/>
        </w:rPr>
        <w:t>Zirschky</w:t>
      </w:r>
      <w:proofErr w:type="spellEnd"/>
      <w:r w:rsidRPr="007227F7">
        <w:rPr>
          <w:rFonts w:ascii="Times New Roman" w:hAnsi="Times New Roman" w:cs="Times New Roman"/>
          <w:sz w:val="20"/>
        </w:rPr>
        <w:t xml:space="preserve">, </w:t>
      </w:r>
      <w:r w:rsidRPr="007227F7">
        <w:rPr>
          <w:rFonts w:ascii="Times New Roman" w:hAnsi="Times New Roman" w:cs="Times New Roman"/>
          <w:i/>
          <w:sz w:val="20"/>
        </w:rPr>
        <w:t>Teaching Outside the Box</w:t>
      </w:r>
      <w:r w:rsidR="008617D9">
        <w:rPr>
          <w:rFonts w:ascii="Times New Roman" w:hAnsi="Times New Roman" w:cs="Times New Roman"/>
          <w:i/>
          <w:sz w:val="20"/>
        </w:rPr>
        <w:t xml:space="preserve">: Five Approaches to Opening the Bible with Youth </w:t>
      </w:r>
      <w:r w:rsidR="008617D9">
        <w:rPr>
          <w:rFonts w:ascii="Times New Roman" w:hAnsi="Times New Roman" w:cs="Times New Roman"/>
          <w:sz w:val="20"/>
        </w:rPr>
        <w:t>(Nashville: Abingdon, 2017)</w:t>
      </w:r>
      <w:r w:rsidRPr="007227F7">
        <w:rPr>
          <w:rFonts w:ascii="Times New Roman" w:hAnsi="Times New Roman" w:cs="Times New Roman"/>
          <w:i/>
          <w:sz w:val="20"/>
        </w:rPr>
        <w:t xml:space="preserve">, </w:t>
      </w:r>
      <w:r w:rsidRPr="007227F7">
        <w:rPr>
          <w:rFonts w:ascii="Times New Roman" w:hAnsi="Times New Roman" w:cs="Times New Roman"/>
          <w:sz w:val="20"/>
        </w:rPr>
        <w:t>12.</w:t>
      </w:r>
    </w:p>
  </w:footnote>
  <w:footnote w:id="5">
    <w:p w14:paraId="7B6A5712" w14:textId="0651B4A6" w:rsidR="000F5B58" w:rsidRPr="00D50CAF" w:rsidRDefault="000F5B58" w:rsidP="000F5B58">
      <w:pPr>
        <w:pStyle w:val="FootnoteText"/>
        <w:ind w:firstLine="720"/>
        <w:rPr>
          <w:rFonts w:ascii="Times New Roman" w:hAnsi="Times New Roman" w:cs="Times New Roman"/>
          <w:sz w:val="20"/>
          <w:szCs w:val="20"/>
        </w:rPr>
      </w:pPr>
      <w:r w:rsidRPr="002B3181">
        <w:rPr>
          <w:rStyle w:val="FootnoteReference"/>
          <w:rFonts w:ascii="Times New Roman" w:hAnsi="Times New Roman" w:cs="Times New Roman"/>
          <w:sz w:val="20"/>
          <w:szCs w:val="20"/>
        </w:rPr>
        <w:footnoteRef/>
      </w:r>
      <w:r w:rsidRPr="002B3181">
        <w:rPr>
          <w:rFonts w:ascii="Times New Roman" w:hAnsi="Times New Roman" w:cs="Times New Roman"/>
          <w:sz w:val="20"/>
          <w:szCs w:val="20"/>
        </w:rPr>
        <w:t xml:space="preserve"> </w:t>
      </w:r>
      <w:r w:rsidR="008617D9">
        <w:rPr>
          <w:rFonts w:ascii="Times New Roman" w:hAnsi="Times New Roman" w:cs="Times New Roman"/>
          <w:sz w:val="20"/>
          <w:szCs w:val="20"/>
        </w:rPr>
        <w:t xml:space="preserve">Andrew </w:t>
      </w:r>
      <w:r w:rsidRPr="002B3181">
        <w:rPr>
          <w:rFonts w:ascii="Times New Roman" w:hAnsi="Times New Roman" w:cs="Times New Roman"/>
          <w:sz w:val="20"/>
          <w:szCs w:val="20"/>
        </w:rPr>
        <w:t xml:space="preserve">Root, </w:t>
      </w:r>
      <w:r w:rsidRPr="002B3181">
        <w:rPr>
          <w:rFonts w:ascii="Times New Roman" w:hAnsi="Times New Roman" w:cs="Times New Roman"/>
          <w:i/>
          <w:sz w:val="20"/>
          <w:szCs w:val="20"/>
        </w:rPr>
        <w:t>Unpacking Scripture</w:t>
      </w:r>
      <w:r w:rsidR="008617D9">
        <w:rPr>
          <w:rFonts w:ascii="Times New Roman" w:hAnsi="Times New Roman" w:cs="Times New Roman"/>
          <w:i/>
          <w:sz w:val="20"/>
          <w:szCs w:val="20"/>
        </w:rPr>
        <w:t xml:space="preserve"> in Youth Ministry, </w:t>
      </w:r>
      <w:r w:rsidR="008617D9">
        <w:rPr>
          <w:rFonts w:ascii="Times New Roman" w:hAnsi="Times New Roman" w:cs="Times New Roman"/>
          <w:sz w:val="20"/>
          <w:szCs w:val="20"/>
        </w:rPr>
        <w:t>A Theological Journey Through Youth Ministry (Grand Rapids: Zondervan, 2012)</w:t>
      </w:r>
      <w:r w:rsidRPr="002B3181">
        <w:rPr>
          <w:rFonts w:ascii="Times New Roman" w:hAnsi="Times New Roman" w:cs="Times New Roman"/>
          <w:i/>
          <w:sz w:val="20"/>
          <w:szCs w:val="20"/>
        </w:rPr>
        <w:t xml:space="preserve">, </w:t>
      </w:r>
      <w:r w:rsidRPr="002B3181">
        <w:rPr>
          <w:rFonts w:ascii="Times New Roman" w:hAnsi="Times New Roman" w:cs="Times New Roman"/>
          <w:sz w:val="20"/>
          <w:szCs w:val="20"/>
        </w:rPr>
        <w:t xml:space="preserve">24. In surveys </w:t>
      </w:r>
      <w:r w:rsidR="009C355A">
        <w:rPr>
          <w:rFonts w:ascii="Times New Roman" w:hAnsi="Times New Roman" w:cs="Times New Roman"/>
          <w:sz w:val="20"/>
          <w:szCs w:val="20"/>
        </w:rPr>
        <w:t>I conducted for my doctoral research</w:t>
      </w:r>
      <w:r w:rsidRPr="002B3181">
        <w:rPr>
          <w:rFonts w:ascii="Times New Roman" w:hAnsi="Times New Roman" w:cs="Times New Roman"/>
          <w:sz w:val="20"/>
          <w:szCs w:val="20"/>
        </w:rPr>
        <w:t>, youth ministers identified getting/keeping youth interested or engaged, and helping youth see the relevance of the text, as the top challenges of biblical education.</w:t>
      </w:r>
    </w:p>
  </w:footnote>
  <w:footnote w:id="6">
    <w:p w14:paraId="399B4580" w14:textId="77777777" w:rsidR="000F5B58" w:rsidRPr="007D6097" w:rsidRDefault="000F5B58" w:rsidP="000F5B58">
      <w:pPr>
        <w:pStyle w:val="FootnoteText"/>
        <w:ind w:firstLine="720"/>
        <w:rPr>
          <w:rFonts w:ascii="Times New Roman" w:hAnsi="Times New Roman" w:cs="Times New Roman"/>
          <w:sz w:val="20"/>
          <w:szCs w:val="20"/>
        </w:rPr>
      </w:pPr>
      <w:r w:rsidRPr="007D6097">
        <w:rPr>
          <w:rStyle w:val="FootnoteReference"/>
          <w:rFonts w:ascii="Times New Roman" w:hAnsi="Times New Roman" w:cs="Times New Roman"/>
          <w:sz w:val="20"/>
          <w:szCs w:val="20"/>
        </w:rPr>
        <w:footnoteRef/>
      </w:r>
      <w:r w:rsidRPr="007D6097">
        <w:rPr>
          <w:rFonts w:ascii="Times New Roman" w:hAnsi="Times New Roman" w:cs="Times New Roman"/>
          <w:sz w:val="20"/>
          <w:szCs w:val="20"/>
        </w:rPr>
        <w:t xml:space="preserve"> </w:t>
      </w:r>
      <w:proofErr w:type="spellStart"/>
      <w:r w:rsidRPr="007D6097">
        <w:rPr>
          <w:rFonts w:ascii="Times New Roman" w:hAnsi="Times New Roman" w:cs="Times New Roman"/>
          <w:sz w:val="20"/>
          <w:szCs w:val="20"/>
        </w:rPr>
        <w:t>Zirschky</w:t>
      </w:r>
      <w:proofErr w:type="spellEnd"/>
      <w:r w:rsidRPr="007D6097">
        <w:rPr>
          <w:rFonts w:ascii="Times New Roman" w:hAnsi="Times New Roman" w:cs="Times New Roman"/>
          <w:sz w:val="20"/>
          <w:szCs w:val="20"/>
        </w:rPr>
        <w:t xml:space="preserve"> writes, “Almost all of them [youth ministry curricula] approach teaching from what can be called the instructional approach</w:t>
      </w:r>
      <w:proofErr w:type="gramStart"/>
      <w:r w:rsidRPr="007D6097">
        <w:rPr>
          <w:rFonts w:ascii="Times New Roman" w:hAnsi="Times New Roman" w:cs="Times New Roman"/>
          <w:sz w:val="20"/>
          <w:szCs w:val="20"/>
        </w:rPr>
        <w:t>….The</w:t>
      </w:r>
      <w:proofErr w:type="gramEnd"/>
      <w:r w:rsidRPr="007D6097">
        <w:rPr>
          <w:rFonts w:ascii="Times New Roman" w:hAnsi="Times New Roman" w:cs="Times New Roman"/>
          <w:sz w:val="20"/>
          <w:szCs w:val="20"/>
        </w:rPr>
        <w:t xml:space="preserve"> goal of this approach, as it is often described by curriculum writers, is to help students understand a small portion of Scripture and then help them apply it to their lives. This approach is used over and over and over again in most churches because it is replicated over and over and over again in most published curriculum and teaching resources. Even those youth workers who write their own curriculum tend to fall into the instructional approach because it’s all they’ve ever experienced.” </w:t>
      </w:r>
      <w:proofErr w:type="spellStart"/>
      <w:r w:rsidRPr="007D6097">
        <w:rPr>
          <w:rFonts w:ascii="Times New Roman" w:hAnsi="Times New Roman" w:cs="Times New Roman"/>
          <w:sz w:val="20"/>
          <w:szCs w:val="20"/>
        </w:rPr>
        <w:t>Zirschky</w:t>
      </w:r>
      <w:proofErr w:type="spellEnd"/>
      <w:r w:rsidRPr="007D6097">
        <w:rPr>
          <w:rFonts w:ascii="Times New Roman" w:hAnsi="Times New Roman" w:cs="Times New Roman"/>
          <w:sz w:val="20"/>
          <w:szCs w:val="20"/>
        </w:rPr>
        <w:t xml:space="preserve">, </w:t>
      </w:r>
      <w:r w:rsidRPr="007D6097">
        <w:rPr>
          <w:rFonts w:ascii="Times New Roman" w:hAnsi="Times New Roman" w:cs="Times New Roman"/>
          <w:i/>
          <w:sz w:val="20"/>
          <w:szCs w:val="20"/>
        </w:rPr>
        <w:t xml:space="preserve">Teaching Outside the Box, </w:t>
      </w:r>
      <w:r w:rsidRPr="007D6097">
        <w:rPr>
          <w:rFonts w:ascii="Times New Roman" w:hAnsi="Times New Roman" w:cs="Times New Roman"/>
          <w:sz w:val="20"/>
          <w:szCs w:val="20"/>
        </w:rPr>
        <w:t>12.</w:t>
      </w:r>
    </w:p>
  </w:footnote>
  <w:footnote w:id="7">
    <w:p w14:paraId="796A9951" w14:textId="0E3638E8" w:rsidR="00C22B18" w:rsidRPr="00C22B18" w:rsidRDefault="00C22B18" w:rsidP="00C22B18">
      <w:pPr>
        <w:pStyle w:val="FootnoteText"/>
        <w:ind w:firstLine="720"/>
        <w:rPr>
          <w:rFonts w:ascii="Times New Roman" w:hAnsi="Times New Roman" w:cs="Times New Roman"/>
          <w:sz w:val="20"/>
          <w:szCs w:val="20"/>
        </w:rPr>
      </w:pPr>
      <w:r w:rsidRPr="00C22B18">
        <w:rPr>
          <w:rStyle w:val="FootnoteReference"/>
          <w:rFonts w:ascii="Times New Roman" w:hAnsi="Times New Roman" w:cs="Times New Roman"/>
          <w:sz w:val="20"/>
          <w:szCs w:val="20"/>
        </w:rPr>
        <w:footnoteRef/>
      </w:r>
      <w:r w:rsidRPr="00C22B18">
        <w:rPr>
          <w:rFonts w:ascii="Times New Roman" w:hAnsi="Times New Roman" w:cs="Times New Roman"/>
          <w:sz w:val="20"/>
          <w:szCs w:val="20"/>
        </w:rPr>
        <w:t xml:space="preserve"> Robert Sternberg, Alina </w:t>
      </w:r>
      <w:proofErr w:type="spellStart"/>
      <w:r w:rsidRPr="00C22B18">
        <w:rPr>
          <w:rFonts w:ascii="Times New Roman" w:hAnsi="Times New Roman" w:cs="Times New Roman"/>
          <w:sz w:val="20"/>
          <w:szCs w:val="20"/>
        </w:rPr>
        <w:t>Reznitskaya</w:t>
      </w:r>
      <w:proofErr w:type="spellEnd"/>
      <w:r w:rsidRPr="00C22B18">
        <w:rPr>
          <w:rFonts w:ascii="Times New Roman" w:hAnsi="Times New Roman" w:cs="Times New Roman"/>
          <w:sz w:val="20"/>
          <w:szCs w:val="20"/>
        </w:rPr>
        <w:t xml:space="preserve">, and Linda </w:t>
      </w:r>
      <w:proofErr w:type="spellStart"/>
      <w:r w:rsidRPr="00C22B18">
        <w:rPr>
          <w:rFonts w:ascii="Times New Roman" w:hAnsi="Times New Roman" w:cs="Times New Roman"/>
          <w:sz w:val="20"/>
          <w:szCs w:val="20"/>
        </w:rPr>
        <w:t>Jarvin</w:t>
      </w:r>
      <w:proofErr w:type="spellEnd"/>
      <w:r w:rsidRPr="00C22B18">
        <w:rPr>
          <w:rFonts w:ascii="Times New Roman" w:hAnsi="Times New Roman" w:cs="Times New Roman"/>
          <w:sz w:val="20"/>
          <w:szCs w:val="20"/>
        </w:rPr>
        <w:t xml:space="preserve">, “Teaching for Wisdom: What Matters Is Not Just What Students Know, But How They Use It,” </w:t>
      </w:r>
      <w:r w:rsidRPr="00C22B18">
        <w:rPr>
          <w:rFonts w:ascii="Times New Roman" w:hAnsi="Times New Roman" w:cs="Times New Roman"/>
          <w:i/>
          <w:sz w:val="20"/>
          <w:szCs w:val="20"/>
        </w:rPr>
        <w:t xml:space="preserve">LRE </w:t>
      </w:r>
      <w:r w:rsidRPr="00C22B18">
        <w:rPr>
          <w:rFonts w:ascii="Times New Roman" w:hAnsi="Times New Roman" w:cs="Times New Roman"/>
          <w:sz w:val="20"/>
          <w:szCs w:val="20"/>
        </w:rPr>
        <w:t>5, no. 2 (2007), https://doi.org/10.1080/14748460701440830, 151.</w:t>
      </w:r>
      <w:r>
        <w:rPr>
          <w:rFonts w:ascii="Times New Roman" w:hAnsi="Times New Roman" w:cs="Times New Roman"/>
          <w:sz w:val="20"/>
          <w:szCs w:val="20"/>
        </w:rPr>
        <w:t xml:space="preserve"> Sternberg, </w:t>
      </w:r>
      <w:proofErr w:type="spellStart"/>
      <w:r>
        <w:rPr>
          <w:rFonts w:ascii="Times New Roman" w:hAnsi="Times New Roman" w:cs="Times New Roman"/>
          <w:sz w:val="20"/>
          <w:szCs w:val="20"/>
        </w:rPr>
        <w:t>Reznitskaya</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Jarvin</w:t>
      </w:r>
      <w:proofErr w:type="spellEnd"/>
      <w:r>
        <w:rPr>
          <w:rFonts w:ascii="Times New Roman" w:hAnsi="Times New Roman" w:cs="Times New Roman"/>
          <w:sz w:val="20"/>
          <w:szCs w:val="20"/>
        </w:rPr>
        <w:t xml:space="preserve"> are writing specifically about educating for wisdom, but the observation holds true when thinking about educating for theological imagination</w:t>
      </w:r>
      <w:r w:rsidR="002A5AEF">
        <w:rPr>
          <w:rFonts w:ascii="Times New Roman" w:hAnsi="Times New Roman" w:cs="Times New Roman"/>
          <w:sz w:val="20"/>
          <w:szCs w:val="20"/>
        </w:rPr>
        <w:t xml:space="preserve">, </w:t>
      </w:r>
      <w:r>
        <w:rPr>
          <w:rFonts w:ascii="Times New Roman" w:hAnsi="Times New Roman" w:cs="Times New Roman"/>
          <w:sz w:val="20"/>
          <w:szCs w:val="20"/>
        </w:rPr>
        <w:t>as I would argue that there is quite a bit of overlap between the two.</w:t>
      </w:r>
    </w:p>
  </w:footnote>
  <w:footnote w:id="8">
    <w:p w14:paraId="677D4735" w14:textId="4F21CD73" w:rsidR="00C22B18" w:rsidRPr="00C22B18" w:rsidRDefault="00C22B18" w:rsidP="00C22B18">
      <w:pPr>
        <w:pStyle w:val="FootnoteText"/>
        <w:ind w:firstLine="720"/>
        <w:rPr>
          <w:rFonts w:ascii="Times New Roman" w:hAnsi="Times New Roman" w:cs="Times New Roman"/>
          <w:sz w:val="20"/>
          <w:szCs w:val="20"/>
        </w:rPr>
      </w:pPr>
      <w:r w:rsidRPr="00C22B18">
        <w:rPr>
          <w:rStyle w:val="FootnoteReference"/>
          <w:rFonts w:ascii="Times New Roman" w:hAnsi="Times New Roman" w:cs="Times New Roman"/>
          <w:sz w:val="20"/>
          <w:szCs w:val="20"/>
        </w:rPr>
        <w:footnoteRef/>
      </w:r>
      <w:r w:rsidRPr="00C22B18">
        <w:rPr>
          <w:rFonts w:ascii="Times New Roman" w:hAnsi="Times New Roman" w:cs="Times New Roman"/>
          <w:sz w:val="20"/>
          <w:szCs w:val="20"/>
        </w:rPr>
        <w:t xml:space="preserve"> </w:t>
      </w:r>
      <w:proofErr w:type="spellStart"/>
      <w:r w:rsidRPr="00C22B18">
        <w:rPr>
          <w:rFonts w:ascii="Times New Roman" w:hAnsi="Times New Roman" w:cs="Times New Roman"/>
          <w:sz w:val="20"/>
          <w:szCs w:val="20"/>
        </w:rPr>
        <w:t>Lorin</w:t>
      </w:r>
      <w:proofErr w:type="spellEnd"/>
      <w:r w:rsidRPr="00C22B18">
        <w:rPr>
          <w:rFonts w:ascii="Times New Roman" w:hAnsi="Times New Roman" w:cs="Times New Roman"/>
          <w:sz w:val="20"/>
          <w:szCs w:val="20"/>
        </w:rPr>
        <w:t xml:space="preserve"> W. Anderson and David R. Krathwohl, ed., </w:t>
      </w:r>
      <w:r w:rsidRPr="00C22B18">
        <w:rPr>
          <w:rFonts w:ascii="Times New Roman" w:hAnsi="Times New Roman" w:cs="Times New Roman"/>
          <w:i/>
          <w:sz w:val="20"/>
          <w:szCs w:val="20"/>
        </w:rPr>
        <w:t xml:space="preserve">A Taxonomy for Learning, Teaching, and Assessing: A Revision of Bloom’s Taxonomy of Educational Objectives </w:t>
      </w:r>
      <w:r w:rsidRPr="00C22B18">
        <w:rPr>
          <w:rFonts w:ascii="Times New Roman" w:hAnsi="Times New Roman" w:cs="Times New Roman"/>
          <w:sz w:val="20"/>
          <w:szCs w:val="20"/>
        </w:rPr>
        <w:t>(New York: Longman, 2001).</w:t>
      </w:r>
    </w:p>
  </w:footnote>
  <w:footnote w:id="9">
    <w:p w14:paraId="77F26D99" w14:textId="77777777" w:rsidR="00E12C44" w:rsidRPr="00D50CAF" w:rsidRDefault="00E12C44" w:rsidP="00E12C44">
      <w:pPr>
        <w:pStyle w:val="FootnoteText"/>
        <w:ind w:firstLine="720"/>
        <w:rPr>
          <w:rFonts w:ascii="Times New Roman" w:hAnsi="Times New Roman" w:cs="Times New Roman"/>
          <w:sz w:val="20"/>
          <w:szCs w:val="20"/>
        </w:rPr>
      </w:pPr>
      <w:r w:rsidRPr="0026172F">
        <w:rPr>
          <w:rStyle w:val="FootnoteReference"/>
          <w:rFonts w:ascii="Times New Roman" w:hAnsi="Times New Roman" w:cs="Times New Roman"/>
          <w:sz w:val="20"/>
          <w:szCs w:val="20"/>
        </w:rPr>
        <w:footnoteRef/>
      </w:r>
      <w:r w:rsidRPr="0026172F">
        <w:rPr>
          <w:rFonts w:ascii="Times New Roman" w:hAnsi="Times New Roman" w:cs="Times New Roman"/>
          <w:sz w:val="20"/>
          <w:szCs w:val="20"/>
        </w:rPr>
        <w:t xml:space="preserve"> </w:t>
      </w:r>
      <w:r w:rsidRPr="000B042F">
        <w:rPr>
          <w:rFonts w:ascii="Times New Roman" w:hAnsi="Times New Roman" w:cs="Times New Roman"/>
          <w:sz w:val="20"/>
          <w:szCs w:val="20"/>
        </w:rPr>
        <w:t xml:space="preserve">Kenda Creasy Dean, “Fessing Up: Owning Our Theological Commitments,” </w:t>
      </w:r>
      <w:r w:rsidRPr="000B042F">
        <w:rPr>
          <w:rFonts w:ascii="Times New Roman" w:hAnsi="Times New Roman" w:cs="Times New Roman"/>
          <w:i/>
          <w:sz w:val="20"/>
          <w:szCs w:val="20"/>
        </w:rPr>
        <w:t xml:space="preserve">Starting Right: Thinking Theologically About Youth Ministry, </w:t>
      </w:r>
      <w:r w:rsidRPr="000B042F">
        <w:rPr>
          <w:rFonts w:ascii="Times New Roman" w:hAnsi="Times New Roman" w:cs="Times New Roman"/>
          <w:sz w:val="20"/>
          <w:szCs w:val="20"/>
        </w:rPr>
        <w:t xml:space="preserve">ed. Kenda Creasy Dean, Chap Clark, and Dave </w:t>
      </w:r>
      <w:proofErr w:type="spellStart"/>
      <w:r w:rsidRPr="000B042F">
        <w:rPr>
          <w:rFonts w:ascii="Times New Roman" w:hAnsi="Times New Roman" w:cs="Times New Roman"/>
          <w:sz w:val="20"/>
          <w:szCs w:val="20"/>
        </w:rPr>
        <w:t>Rahn</w:t>
      </w:r>
      <w:proofErr w:type="spellEnd"/>
      <w:r w:rsidRPr="000B042F">
        <w:rPr>
          <w:rFonts w:ascii="Times New Roman" w:hAnsi="Times New Roman" w:cs="Times New Roman"/>
          <w:sz w:val="20"/>
          <w:szCs w:val="20"/>
        </w:rPr>
        <w:t xml:space="preserve"> (Grand Rapids: Zondervan, 2001), 30.</w:t>
      </w:r>
    </w:p>
  </w:footnote>
  <w:footnote w:id="10">
    <w:p w14:paraId="7BEB4B4C" w14:textId="5BC861E2" w:rsidR="009C355A" w:rsidRPr="00B20804" w:rsidRDefault="009C355A" w:rsidP="009C355A">
      <w:pPr>
        <w:pStyle w:val="FootnoteText"/>
        <w:ind w:firstLine="720"/>
        <w:rPr>
          <w:rFonts w:ascii="Times New Roman" w:hAnsi="Times New Roman" w:cs="Times New Roman"/>
          <w:sz w:val="20"/>
          <w:szCs w:val="20"/>
        </w:rPr>
      </w:pPr>
      <w:r w:rsidRPr="00155169">
        <w:rPr>
          <w:rStyle w:val="FootnoteReference"/>
          <w:rFonts w:ascii="Times New Roman" w:hAnsi="Times New Roman" w:cs="Times New Roman"/>
          <w:sz w:val="20"/>
          <w:szCs w:val="20"/>
        </w:rPr>
        <w:footnoteRef/>
      </w:r>
      <w:r w:rsidRPr="00155169">
        <w:rPr>
          <w:rFonts w:ascii="Times New Roman" w:hAnsi="Times New Roman" w:cs="Times New Roman"/>
          <w:sz w:val="20"/>
          <w:szCs w:val="20"/>
        </w:rPr>
        <w:t xml:space="preserve"> </w:t>
      </w:r>
      <w:r w:rsidR="008617D9">
        <w:rPr>
          <w:rFonts w:ascii="Times New Roman" w:hAnsi="Times New Roman" w:cs="Times New Roman"/>
          <w:sz w:val="20"/>
          <w:szCs w:val="20"/>
        </w:rPr>
        <w:t xml:space="preserve">Paulo </w:t>
      </w:r>
      <w:r w:rsidRPr="00155169">
        <w:rPr>
          <w:rFonts w:ascii="Times New Roman" w:hAnsi="Times New Roman" w:cs="Times New Roman"/>
          <w:sz w:val="20"/>
          <w:szCs w:val="20"/>
        </w:rPr>
        <w:t xml:space="preserve">Freire, </w:t>
      </w:r>
      <w:r w:rsidRPr="00155169">
        <w:rPr>
          <w:rFonts w:ascii="Times New Roman" w:hAnsi="Times New Roman" w:cs="Times New Roman"/>
          <w:i/>
          <w:sz w:val="20"/>
          <w:szCs w:val="20"/>
        </w:rPr>
        <w:t>Pedagogy of the Oppressed,</w:t>
      </w:r>
      <w:r w:rsidR="008617D9">
        <w:rPr>
          <w:rFonts w:ascii="Times New Roman" w:hAnsi="Times New Roman" w:cs="Times New Roman"/>
          <w:i/>
          <w:sz w:val="20"/>
          <w:szCs w:val="20"/>
        </w:rPr>
        <w:t xml:space="preserve"> </w:t>
      </w:r>
      <w:r w:rsidR="008617D9">
        <w:rPr>
          <w:rFonts w:ascii="Times New Roman" w:hAnsi="Times New Roman" w:cs="Times New Roman"/>
          <w:sz w:val="20"/>
          <w:szCs w:val="20"/>
        </w:rPr>
        <w:t>30</w:t>
      </w:r>
      <w:r w:rsidR="008617D9" w:rsidRPr="008617D9">
        <w:rPr>
          <w:rFonts w:ascii="Times New Roman" w:hAnsi="Times New Roman" w:cs="Times New Roman"/>
          <w:sz w:val="20"/>
          <w:szCs w:val="20"/>
          <w:vertAlign w:val="superscript"/>
        </w:rPr>
        <w:t>th</w:t>
      </w:r>
      <w:r w:rsidR="008617D9">
        <w:rPr>
          <w:rFonts w:ascii="Times New Roman" w:hAnsi="Times New Roman" w:cs="Times New Roman"/>
          <w:sz w:val="20"/>
          <w:szCs w:val="20"/>
        </w:rPr>
        <w:t xml:space="preserve"> anniversary ed.,</w:t>
      </w:r>
      <w:r w:rsidR="008617D9">
        <w:rPr>
          <w:rFonts w:ascii="Times New Roman" w:hAnsi="Times New Roman" w:cs="Times New Roman"/>
          <w:i/>
          <w:sz w:val="20"/>
          <w:szCs w:val="20"/>
        </w:rPr>
        <w:t xml:space="preserve"> </w:t>
      </w:r>
      <w:r w:rsidR="008617D9">
        <w:rPr>
          <w:rFonts w:ascii="Times New Roman" w:hAnsi="Times New Roman" w:cs="Times New Roman"/>
          <w:sz w:val="20"/>
          <w:szCs w:val="20"/>
        </w:rPr>
        <w:t>trans. Myra Bergman (New York: Bloomsbury, 2017)</w:t>
      </w:r>
      <w:r w:rsidRPr="00155169">
        <w:rPr>
          <w:rFonts w:ascii="Times New Roman" w:hAnsi="Times New Roman" w:cs="Times New Roman"/>
          <w:i/>
          <w:sz w:val="20"/>
          <w:szCs w:val="20"/>
        </w:rPr>
        <w:t xml:space="preserve"> </w:t>
      </w:r>
      <w:r w:rsidRPr="00155169">
        <w:rPr>
          <w:rFonts w:ascii="Times New Roman" w:hAnsi="Times New Roman" w:cs="Times New Roman"/>
          <w:sz w:val="20"/>
          <w:szCs w:val="20"/>
        </w:rPr>
        <w:t>72.</w:t>
      </w:r>
    </w:p>
  </w:footnote>
  <w:footnote w:id="11">
    <w:p w14:paraId="190479CB" w14:textId="0EA1182D" w:rsidR="00183F42" w:rsidRPr="007F115E" w:rsidRDefault="00183F42" w:rsidP="00183F42">
      <w:pPr>
        <w:pStyle w:val="FootnoteText"/>
        <w:ind w:firstLine="720"/>
        <w:rPr>
          <w:rFonts w:ascii="Times New Roman" w:hAnsi="Times New Roman" w:cs="Times New Roman"/>
          <w:sz w:val="20"/>
          <w:szCs w:val="20"/>
        </w:rPr>
      </w:pPr>
      <w:r w:rsidRPr="007F115E">
        <w:rPr>
          <w:rStyle w:val="FootnoteReference"/>
          <w:rFonts w:ascii="Times New Roman" w:hAnsi="Times New Roman" w:cs="Times New Roman"/>
          <w:sz w:val="20"/>
          <w:szCs w:val="20"/>
        </w:rPr>
        <w:footnoteRef/>
      </w:r>
      <w:r w:rsidRPr="007F115E">
        <w:rPr>
          <w:rFonts w:ascii="Times New Roman" w:hAnsi="Times New Roman" w:cs="Times New Roman"/>
          <w:sz w:val="20"/>
          <w:szCs w:val="20"/>
        </w:rPr>
        <w:t xml:space="preserve"> Freire, </w:t>
      </w:r>
      <w:r w:rsidRPr="007F115E">
        <w:rPr>
          <w:rFonts w:ascii="Times New Roman" w:hAnsi="Times New Roman" w:cs="Times New Roman"/>
          <w:i/>
          <w:sz w:val="20"/>
          <w:szCs w:val="20"/>
        </w:rPr>
        <w:t xml:space="preserve">Pedagogy of the Oppressed, </w:t>
      </w:r>
      <w:r w:rsidRPr="007F115E">
        <w:rPr>
          <w:rFonts w:ascii="Times New Roman" w:hAnsi="Times New Roman" w:cs="Times New Roman"/>
          <w:sz w:val="20"/>
          <w:szCs w:val="20"/>
        </w:rPr>
        <w:t>80.</w:t>
      </w:r>
    </w:p>
  </w:footnote>
  <w:footnote w:id="12">
    <w:p w14:paraId="52ED930D" w14:textId="77777777" w:rsidR="009C355A" w:rsidRPr="0064484C" w:rsidRDefault="009C355A" w:rsidP="009C355A">
      <w:pPr>
        <w:pStyle w:val="FootnoteText"/>
        <w:ind w:firstLine="720"/>
        <w:rPr>
          <w:rFonts w:ascii="Times New Roman" w:hAnsi="Times New Roman" w:cs="Times New Roman"/>
          <w:sz w:val="20"/>
          <w:szCs w:val="20"/>
        </w:rPr>
      </w:pPr>
      <w:r w:rsidRPr="0064484C">
        <w:rPr>
          <w:rStyle w:val="FootnoteReference"/>
          <w:rFonts w:ascii="Times New Roman" w:hAnsi="Times New Roman" w:cs="Times New Roman"/>
          <w:sz w:val="20"/>
          <w:szCs w:val="20"/>
        </w:rPr>
        <w:footnoteRef/>
      </w:r>
      <w:r w:rsidRPr="0064484C">
        <w:rPr>
          <w:rFonts w:ascii="Times New Roman" w:hAnsi="Times New Roman" w:cs="Times New Roman"/>
          <w:sz w:val="20"/>
          <w:szCs w:val="20"/>
        </w:rPr>
        <w:t xml:space="preserve"> Freire, </w:t>
      </w:r>
      <w:r w:rsidRPr="0064484C">
        <w:rPr>
          <w:rFonts w:ascii="Times New Roman" w:hAnsi="Times New Roman" w:cs="Times New Roman"/>
          <w:i/>
          <w:sz w:val="20"/>
          <w:szCs w:val="20"/>
        </w:rPr>
        <w:t xml:space="preserve">Pedagogy of the Oppressed, </w:t>
      </w:r>
      <w:r w:rsidRPr="0064484C">
        <w:rPr>
          <w:rFonts w:ascii="Times New Roman" w:hAnsi="Times New Roman" w:cs="Times New Roman"/>
          <w:sz w:val="20"/>
          <w:szCs w:val="20"/>
        </w:rPr>
        <w:t>80.</w:t>
      </w:r>
    </w:p>
  </w:footnote>
  <w:footnote w:id="13">
    <w:p w14:paraId="7F2F4D7C" w14:textId="77777777" w:rsidR="009C355A" w:rsidRPr="00490848" w:rsidRDefault="009C355A" w:rsidP="009C355A">
      <w:pPr>
        <w:pStyle w:val="FootnoteText"/>
        <w:ind w:firstLine="720"/>
      </w:pPr>
      <w:r w:rsidRPr="0064484C">
        <w:rPr>
          <w:rStyle w:val="FootnoteReference"/>
          <w:rFonts w:ascii="Times New Roman" w:hAnsi="Times New Roman" w:cs="Times New Roman"/>
          <w:sz w:val="20"/>
          <w:szCs w:val="20"/>
        </w:rPr>
        <w:footnoteRef/>
      </w:r>
      <w:r w:rsidRPr="0064484C">
        <w:rPr>
          <w:rFonts w:ascii="Times New Roman" w:hAnsi="Times New Roman" w:cs="Times New Roman"/>
          <w:sz w:val="20"/>
          <w:szCs w:val="20"/>
        </w:rPr>
        <w:t xml:space="preserve"> Freire, </w:t>
      </w:r>
      <w:r w:rsidRPr="0064484C">
        <w:rPr>
          <w:rFonts w:ascii="Times New Roman" w:hAnsi="Times New Roman" w:cs="Times New Roman"/>
          <w:i/>
          <w:sz w:val="20"/>
          <w:szCs w:val="20"/>
        </w:rPr>
        <w:t xml:space="preserve">Pedagogy of the Oppressed, </w:t>
      </w:r>
      <w:r w:rsidRPr="0064484C">
        <w:rPr>
          <w:rFonts w:ascii="Times New Roman" w:hAnsi="Times New Roman" w:cs="Times New Roman"/>
          <w:sz w:val="20"/>
          <w:szCs w:val="20"/>
        </w:rPr>
        <w:t>80.</w:t>
      </w:r>
    </w:p>
  </w:footnote>
  <w:footnote w:id="14">
    <w:p w14:paraId="1EB1B559" w14:textId="2760C673" w:rsidR="00C520FB" w:rsidRPr="00D921B9" w:rsidRDefault="00C520FB" w:rsidP="00C520FB">
      <w:pPr>
        <w:pStyle w:val="FootnoteText"/>
        <w:ind w:firstLine="720"/>
        <w:rPr>
          <w:rFonts w:ascii="Times New Roman" w:hAnsi="Times New Roman" w:cs="Times New Roman"/>
          <w:sz w:val="20"/>
          <w:szCs w:val="20"/>
        </w:rPr>
      </w:pPr>
      <w:r w:rsidRPr="00D921B9">
        <w:rPr>
          <w:rStyle w:val="FootnoteReference"/>
          <w:rFonts w:ascii="Times New Roman" w:hAnsi="Times New Roman" w:cs="Times New Roman"/>
          <w:sz w:val="20"/>
          <w:szCs w:val="20"/>
        </w:rPr>
        <w:footnoteRef/>
      </w:r>
      <w:r w:rsidRPr="00D921B9">
        <w:rPr>
          <w:rFonts w:ascii="Times New Roman" w:hAnsi="Times New Roman" w:cs="Times New Roman"/>
          <w:sz w:val="20"/>
          <w:szCs w:val="20"/>
        </w:rPr>
        <w:t xml:space="preserve"> </w:t>
      </w:r>
      <w:r w:rsidR="008617D9">
        <w:rPr>
          <w:rFonts w:ascii="Times New Roman" w:hAnsi="Times New Roman" w:cs="Times New Roman"/>
          <w:sz w:val="20"/>
          <w:szCs w:val="20"/>
        </w:rPr>
        <w:t xml:space="preserve">Rob </w:t>
      </w:r>
      <w:r>
        <w:rPr>
          <w:rFonts w:ascii="Times New Roman" w:hAnsi="Times New Roman" w:cs="Times New Roman"/>
          <w:sz w:val="20"/>
          <w:szCs w:val="20"/>
        </w:rPr>
        <w:t xml:space="preserve">Quinn, “Week 4: Relationships,” </w:t>
      </w:r>
      <w:r>
        <w:rPr>
          <w:rFonts w:ascii="Times New Roman" w:hAnsi="Times New Roman" w:cs="Times New Roman"/>
          <w:i/>
          <w:sz w:val="20"/>
          <w:szCs w:val="20"/>
        </w:rPr>
        <w:t>Proverbs: How to Be Wise,</w:t>
      </w:r>
      <w:r w:rsidRPr="00D921B9">
        <w:rPr>
          <w:rFonts w:ascii="Times New Roman" w:hAnsi="Times New Roman" w:cs="Times New Roman"/>
          <w:sz w:val="20"/>
          <w:szCs w:val="20"/>
        </w:rPr>
        <w:t xml:space="preserve"> </w:t>
      </w:r>
      <w:r w:rsidR="008617D9">
        <w:rPr>
          <w:rFonts w:ascii="Times New Roman" w:hAnsi="Times New Roman" w:cs="Times New Roman"/>
          <w:sz w:val="20"/>
          <w:szCs w:val="20"/>
        </w:rPr>
        <w:t>ed. Sue Verner</w:t>
      </w:r>
      <w:r w:rsidR="008617D9" w:rsidRPr="008617D9">
        <w:rPr>
          <w:rFonts w:ascii="Times New Roman" w:hAnsi="Times New Roman" w:cs="Times New Roman"/>
          <w:sz w:val="20"/>
          <w:szCs w:val="20"/>
        </w:rPr>
        <w:t>,</w:t>
      </w:r>
      <w:r w:rsidR="008617D9">
        <w:rPr>
          <w:rFonts w:ascii="Times New Roman" w:hAnsi="Times New Roman" w:cs="Times New Roman"/>
          <w:sz w:val="20"/>
          <w:szCs w:val="20"/>
        </w:rPr>
        <w:t xml:space="preserve"> </w:t>
      </w:r>
      <w:r w:rsidRPr="00D921B9">
        <w:rPr>
          <w:rFonts w:ascii="Times New Roman" w:hAnsi="Times New Roman" w:cs="Times New Roman"/>
          <w:sz w:val="20"/>
          <w:szCs w:val="20"/>
        </w:rPr>
        <w:t xml:space="preserve">8. </w:t>
      </w:r>
    </w:p>
  </w:footnote>
  <w:footnote w:id="15">
    <w:p w14:paraId="2286D779" w14:textId="77777777" w:rsidR="00C520FB" w:rsidRPr="001D2E8D" w:rsidRDefault="00C520FB" w:rsidP="00C520FB">
      <w:pPr>
        <w:pStyle w:val="FootnoteText"/>
        <w:ind w:firstLine="720"/>
        <w:rPr>
          <w:rFonts w:ascii="Times New Roman" w:hAnsi="Times New Roman" w:cs="Times New Roman"/>
          <w:sz w:val="20"/>
          <w:szCs w:val="20"/>
        </w:rPr>
      </w:pPr>
      <w:r w:rsidRPr="00D921B9">
        <w:rPr>
          <w:rStyle w:val="FootnoteReference"/>
          <w:rFonts w:ascii="Times New Roman" w:hAnsi="Times New Roman" w:cs="Times New Roman"/>
          <w:sz w:val="20"/>
          <w:szCs w:val="20"/>
        </w:rPr>
        <w:footnoteRef/>
      </w:r>
      <w:r w:rsidRPr="00D921B9">
        <w:rPr>
          <w:rFonts w:ascii="Times New Roman" w:hAnsi="Times New Roman" w:cs="Times New Roman"/>
          <w:sz w:val="20"/>
          <w:szCs w:val="20"/>
        </w:rPr>
        <w:t xml:space="preserve"> </w:t>
      </w:r>
      <w:r>
        <w:rPr>
          <w:rFonts w:ascii="Times New Roman" w:hAnsi="Times New Roman" w:cs="Times New Roman"/>
          <w:sz w:val="20"/>
          <w:szCs w:val="20"/>
        </w:rPr>
        <w:t xml:space="preserve">In fact, Ronald L. Giese, Jr., has argued that this proverb does not have a positive meaning at all but rather refers to people stirring up and escalating violence against one another. For Giese’s argument, as well as a helpful summary of the interpretive tradition of this proverb, see Ronald L. Giese, Jr., “‘Iron Sharpens Iron’ as a Negative Image: Challenging the Common Interpretation of Proverbs 27:17,” </w:t>
      </w:r>
      <w:r>
        <w:rPr>
          <w:rFonts w:ascii="Times New Roman" w:hAnsi="Times New Roman" w:cs="Times New Roman"/>
          <w:i/>
          <w:sz w:val="20"/>
          <w:szCs w:val="20"/>
        </w:rPr>
        <w:t xml:space="preserve">JBL </w:t>
      </w:r>
      <w:r>
        <w:rPr>
          <w:rFonts w:ascii="Times New Roman" w:hAnsi="Times New Roman" w:cs="Times New Roman"/>
          <w:sz w:val="20"/>
          <w:szCs w:val="20"/>
        </w:rPr>
        <w:t>135, no. 1 (2016): 61-76.</w:t>
      </w:r>
    </w:p>
  </w:footnote>
  <w:footnote w:id="16">
    <w:p w14:paraId="67485A8D" w14:textId="4E910674" w:rsidR="00E12C44" w:rsidRPr="0064484C" w:rsidRDefault="00E12C44" w:rsidP="00E12C44">
      <w:pPr>
        <w:pStyle w:val="FootnoteText"/>
        <w:ind w:firstLine="720"/>
        <w:rPr>
          <w:rFonts w:ascii="Times New Roman" w:hAnsi="Times New Roman" w:cs="Times New Roman"/>
          <w:sz w:val="20"/>
          <w:szCs w:val="20"/>
        </w:rPr>
      </w:pPr>
      <w:r w:rsidRPr="0064484C">
        <w:rPr>
          <w:rStyle w:val="FootnoteReference"/>
          <w:rFonts w:ascii="Times New Roman" w:hAnsi="Times New Roman" w:cs="Times New Roman"/>
          <w:sz w:val="20"/>
          <w:szCs w:val="20"/>
        </w:rPr>
        <w:footnoteRef/>
      </w:r>
      <w:r w:rsidRPr="0064484C">
        <w:rPr>
          <w:rFonts w:ascii="Times New Roman" w:hAnsi="Times New Roman" w:cs="Times New Roman"/>
          <w:sz w:val="20"/>
          <w:szCs w:val="20"/>
        </w:rPr>
        <w:t xml:space="preserve"> For example, in John’s Gospel</w:t>
      </w:r>
      <w:r>
        <w:rPr>
          <w:rFonts w:ascii="Times New Roman" w:hAnsi="Times New Roman" w:cs="Times New Roman"/>
          <w:sz w:val="20"/>
          <w:szCs w:val="20"/>
        </w:rPr>
        <w:t xml:space="preserve"> alone</w:t>
      </w:r>
      <w:r w:rsidRPr="0064484C">
        <w:rPr>
          <w:rFonts w:ascii="Times New Roman" w:hAnsi="Times New Roman" w:cs="Times New Roman"/>
          <w:sz w:val="20"/>
          <w:szCs w:val="20"/>
        </w:rPr>
        <w:t>, potential causes include Judas’ betrayal (John 18:2), Caiaphas’ recommendation to the Jewish leaders (John 18:14), because Jesus had claimed to be the Son of God (John 19:7), because Pilate was afraid (John 19:8), because Pilate had been given power “from above” (John 19:11), and because of Pilate’s loyalty to Caesar (John 19:12).</w:t>
      </w:r>
      <w:r>
        <w:rPr>
          <w:rFonts w:ascii="Times New Roman" w:hAnsi="Times New Roman" w:cs="Times New Roman"/>
          <w:sz w:val="20"/>
          <w:szCs w:val="20"/>
        </w:rPr>
        <w:t xml:space="preserve"> While the learning goals identified here are cognitive, describing what learners should be able to understand, other learning goals might be more affective, describing a desired outcome of learners’ emotional engagement with the narrative.</w:t>
      </w:r>
    </w:p>
  </w:footnote>
  <w:footnote w:id="17">
    <w:p w14:paraId="3AC34CF3" w14:textId="095DCB39" w:rsidR="00556BC0" w:rsidRPr="00556BC0" w:rsidRDefault="00556BC0" w:rsidP="00556BC0">
      <w:pPr>
        <w:pStyle w:val="FootnoteText"/>
        <w:ind w:firstLine="720"/>
        <w:rPr>
          <w:rFonts w:ascii="Times New Roman" w:hAnsi="Times New Roman" w:cs="Times New Roman"/>
          <w:sz w:val="20"/>
          <w:szCs w:val="20"/>
        </w:rPr>
      </w:pPr>
      <w:r w:rsidRPr="00556BC0">
        <w:rPr>
          <w:rStyle w:val="FootnoteReference"/>
          <w:rFonts w:ascii="Times New Roman" w:hAnsi="Times New Roman" w:cs="Times New Roman"/>
          <w:sz w:val="20"/>
          <w:szCs w:val="20"/>
        </w:rPr>
        <w:footnoteRef/>
      </w:r>
      <w:r w:rsidRPr="00556BC0">
        <w:rPr>
          <w:rFonts w:ascii="Times New Roman" w:hAnsi="Times New Roman" w:cs="Times New Roman"/>
          <w:sz w:val="20"/>
          <w:szCs w:val="20"/>
        </w:rPr>
        <w:t xml:space="preserve"> Freire, </w:t>
      </w:r>
      <w:r w:rsidRPr="00556BC0">
        <w:rPr>
          <w:rFonts w:ascii="Times New Roman" w:hAnsi="Times New Roman" w:cs="Times New Roman"/>
          <w:i/>
          <w:sz w:val="20"/>
          <w:szCs w:val="20"/>
        </w:rPr>
        <w:t xml:space="preserve">Pedagogy of the Oppressed, </w:t>
      </w:r>
      <w:r w:rsidRPr="00556BC0">
        <w:rPr>
          <w:rFonts w:ascii="Times New Roman" w:hAnsi="Times New Roman" w:cs="Times New Roman"/>
          <w:sz w:val="20"/>
          <w:szCs w:val="20"/>
        </w:rPr>
        <w:t>79.</w:t>
      </w:r>
    </w:p>
  </w:footnote>
  <w:footnote w:id="18">
    <w:p w14:paraId="451880DC" w14:textId="77777777" w:rsidR="00E35F15" w:rsidRPr="00E35F15" w:rsidRDefault="00E35F15" w:rsidP="00E35F15">
      <w:pPr>
        <w:pStyle w:val="FootnoteText"/>
        <w:ind w:firstLine="720"/>
        <w:rPr>
          <w:rFonts w:ascii="Times New Roman" w:hAnsi="Times New Roman" w:cs="Times New Roman"/>
          <w:sz w:val="20"/>
          <w:szCs w:val="20"/>
        </w:rPr>
      </w:pPr>
      <w:r w:rsidRPr="00E35F15">
        <w:rPr>
          <w:rStyle w:val="FootnoteReference"/>
          <w:rFonts w:ascii="Times New Roman" w:hAnsi="Times New Roman" w:cs="Times New Roman"/>
          <w:sz w:val="20"/>
          <w:szCs w:val="20"/>
        </w:rPr>
        <w:footnoteRef/>
      </w:r>
      <w:r w:rsidRPr="00E35F15">
        <w:rPr>
          <w:rFonts w:ascii="Times New Roman" w:hAnsi="Times New Roman" w:cs="Times New Roman"/>
          <w:sz w:val="20"/>
          <w:szCs w:val="20"/>
        </w:rPr>
        <w:t xml:space="preserve"> Anders Schinkel, “Introduction,” </w:t>
      </w:r>
      <w:r w:rsidRPr="00E35F15">
        <w:rPr>
          <w:rFonts w:ascii="Times New Roman" w:hAnsi="Times New Roman" w:cs="Times New Roman"/>
          <w:i/>
          <w:sz w:val="20"/>
          <w:szCs w:val="20"/>
        </w:rPr>
        <w:t>Wonder, Education, and Human Flourishing: Theoretical, Empirical, and Practical Perspectives</w:t>
      </w:r>
      <w:r w:rsidRPr="00E35F15">
        <w:rPr>
          <w:rFonts w:ascii="Times New Roman" w:hAnsi="Times New Roman" w:cs="Times New Roman"/>
          <w:sz w:val="20"/>
          <w:szCs w:val="20"/>
        </w:rPr>
        <w:t xml:space="preserve">, ed. Anders Schinkel (Amsterdam: VU University Press, 2020), 11; William Brown, </w:t>
      </w:r>
      <w:r w:rsidRPr="00E35F15">
        <w:rPr>
          <w:rFonts w:ascii="Times New Roman" w:hAnsi="Times New Roman" w:cs="Times New Roman"/>
          <w:i/>
          <w:sz w:val="20"/>
          <w:szCs w:val="20"/>
        </w:rPr>
        <w:t xml:space="preserve">Wisdom’s Wonder: Character, Creation, and Crisis in the Bible’s Wisdom Literature </w:t>
      </w:r>
      <w:r w:rsidRPr="00E35F15">
        <w:rPr>
          <w:rFonts w:ascii="Times New Roman" w:hAnsi="Times New Roman" w:cs="Times New Roman"/>
          <w:sz w:val="20"/>
          <w:szCs w:val="20"/>
        </w:rPr>
        <w:t>(Grand Rapids: Eerdmans, 2014), 20-23.</w:t>
      </w:r>
    </w:p>
  </w:footnote>
  <w:footnote w:id="19">
    <w:p w14:paraId="495AB1A0" w14:textId="0326AB03" w:rsidR="00E35F15" w:rsidRPr="00E35F15" w:rsidRDefault="00E35F15" w:rsidP="00E35F15">
      <w:pPr>
        <w:pStyle w:val="FootnoteText"/>
        <w:ind w:firstLine="720"/>
        <w:rPr>
          <w:rFonts w:ascii="Times New Roman" w:hAnsi="Times New Roman" w:cs="Times New Roman"/>
          <w:sz w:val="20"/>
          <w:szCs w:val="20"/>
        </w:rPr>
      </w:pPr>
      <w:r w:rsidRPr="00E35F15">
        <w:rPr>
          <w:rStyle w:val="FootnoteReference"/>
          <w:rFonts w:ascii="Times New Roman" w:hAnsi="Times New Roman" w:cs="Times New Roman"/>
          <w:sz w:val="20"/>
          <w:szCs w:val="20"/>
        </w:rPr>
        <w:footnoteRef/>
      </w:r>
      <w:r w:rsidRPr="00E35F15">
        <w:rPr>
          <w:rFonts w:ascii="Times New Roman" w:hAnsi="Times New Roman" w:cs="Times New Roman"/>
          <w:sz w:val="20"/>
          <w:szCs w:val="20"/>
        </w:rPr>
        <w:t xml:space="preserve"> Schinkel, “Introduction,” 11.</w:t>
      </w:r>
    </w:p>
  </w:footnote>
  <w:footnote w:id="20">
    <w:p w14:paraId="68846721" w14:textId="7D14F86F" w:rsidR="00E35F15" w:rsidRPr="00E35F15" w:rsidRDefault="00E35F15" w:rsidP="00E35F15">
      <w:pPr>
        <w:pStyle w:val="FootnoteText"/>
        <w:ind w:firstLine="720"/>
        <w:rPr>
          <w:rFonts w:ascii="Times New Roman" w:hAnsi="Times New Roman" w:cs="Times New Roman"/>
          <w:sz w:val="20"/>
          <w:szCs w:val="20"/>
        </w:rPr>
      </w:pPr>
      <w:r w:rsidRPr="00E35F15">
        <w:rPr>
          <w:rStyle w:val="FootnoteReference"/>
          <w:rFonts w:ascii="Times New Roman" w:hAnsi="Times New Roman" w:cs="Times New Roman"/>
          <w:sz w:val="20"/>
          <w:szCs w:val="20"/>
        </w:rPr>
        <w:footnoteRef/>
      </w:r>
      <w:r w:rsidRPr="00E35F15">
        <w:rPr>
          <w:rFonts w:ascii="Times New Roman" w:hAnsi="Times New Roman" w:cs="Times New Roman"/>
          <w:sz w:val="20"/>
          <w:szCs w:val="20"/>
        </w:rPr>
        <w:t xml:space="preserve"> Brown, </w:t>
      </w:r>
      <w:r w:rsidRPr="00E35F15">
        <w:rPr>
          <w:rFonts w:ascii="Times New Roman" w:hAnsi="Times New Roman" w:cs="Times New Roman"/>
          <w:i/>
          <w:sz w:val="20"/>
          <w:szCs w:val="20"/>
        </w:rPr>
        <w:t xml:space="preserve">Wisdom’s Wonder, </w:t>
      </w:r>
      <w:r w:rsidRPr="00E35F15">
        <w:rPr>
          <w:rFonts w:ascii="Times New Roman" w:hAnsi="Times New Roman" w:cs="Times New Roman"/>
          <w:sz w:val="20"/>
          <w:szCs w:val="20"/>
        </w:rPr>
        <w:t>20-21.</w:t>
      </w:r>
    </w:p>
  </w:footnote>
  <w:footnote w:id="21">
    <w:p w14:paraId="147A2D85" w14:textId="1F600D45" w:rsidR="00E35F15" w:rsidRPr="00E35F15" w:rsidRDefault="00E35F15" w:rsidP="00E35F15">
      <w:pPr>
        <w:pStyle w:val="FootnoteText"/>
        <w:ind w:firstLine="720"/>
        <w:rPr>
          <w:rFonts w:ascii="Times New Roman" w:hAnsi="Times New Roman" w:cs="Times New Roman"/>
          <w:sz w:val="20"/>
          <w:szCs w:val="20"/>
        </w:rPr>
      </w:pPr>
      <w:r w:rsidRPr="00E35F15">
        <w:rPr>
          <w:rStyle w:val="FootnoteReference"/>
          <w:rFonts w:ascii="Times New Roman" w:hAnsi="Times New Roman" w:cs="Times New Roman"/>
          <w:sz w:val="20"/>
          <w:szCs w:val="20"/>
        </w:rPr>
        <w:footnoteRef/>
      </w:r>
      <w:r w:rsidRPr="00E35F15">
        <w:rPr>
          <w:rFonts w:ascii="Times New Roman" w:hAnsi="Times New Roman" w:cs="Times New Roman"/>
          <w:sz w:val="20"/>
          <w:szCs w:val="20"/>
        </w:rPr>
        <w:t xml:space="preserve"> Brown, </w:t>
      </w:r>
      <w:r w:rsidRPr="00E35F15">
        <w:rPr>
          <w:rFonts w:ascii="Times New Roman" w:hAnsi="Times New Roman" w:cs="Times New Roman"/>
          <w:i/>
          <w:sz w:val="20"/>
          <w:szCs w:val="20"/>
        </w:rPr>
        <w:t xml:space="preserve">Wisdom’s Wonder, </w:t>
      </w:r>
      <w:r w:rsidRPr="00E35F15">
        <w:rPr>
          <w:rFonts w:ascii="Times New Roman" w:hAnsi="Times New Roman" w:cs="Times New Roman"/>
          <w:sz w:val="20"/>
          <w:szCs w:val="20"/>
        </w:rPr>
        <w:t xml:space="preserve">20-21; Schinkel, “Introduction,” 11; Mary-Jane Rubenstein, </w:t>
      </w:r>
      <w:r w:rsidRPr="00E35F15">
        <w:rPr>
          <w:rFonts w:ascii="Times New Roman" w:hAnsi="Times New Roman" w:cs="Times New Roman"/>
          <w:i/>
          <w:sz w:val="20"/>
          <w:szCs w:val="20"/>
        </w:rPr>
        <w:t xml:space="preserve">Strange Wonder: The Closure of Metaphysics and the Opening of Awe </w:t>
      </w:r>
      <w:r w:rsidRPr="00E35F15">
        <w:rPr>
          <w:rFonts w:ascii="Times New Roman" w:hAnsi="Times New Roman" w:cs="Times New Roman"/>
          <w:sz w:val="20"/>
          <w:szCs w:val="20"/>
        </w:rPr>
        <w:t>(New York: Columbia University Press, 2008), 9-11.</w:t>
      </w:r>
    </w:p>
  </w:footnote>
  <w:footnote w:id="22">
    <w:p w14:paraId="02007E61" w14:textId="4DC53FAF" w:rsidR="00E35F15" w:rsidRDefault="00E35F15" w:rsidP="00E35F15">
      <w:pPr>
        <w:pStyle w:val="FootnoteText"/>
        <w:ind w:firstLine="720"/>
      </w:pPr>
      <w:r w:rsidRPr="002D77CE">
        <w:rPr>
          <w:rStyle w:val="FootnoteReference"/>
          <w:rFonts w:ascii="Times New Roman" w:hAnsi="Times New Roman" w:cs="Times New Roman"/>
          <w:sz w:val="20"/>
          <w:szCs w:val="20"/>
        </w:rPr>
        <w:footnoteRef/>
      </w:r>
      <w:r w:rsidRPr="00E35F15">
        <w:rPr>
          <w:rFonts w:ascii="Times New Roman" w:hAnsi="Times New Roman" w:cs="Times New Roman"/>
          <w:sz w:val="20"/>
          <w:szCs w:val="20"/>
        </w:rPr>
        <w:t xml:space="preserve"> Yannis </w:t>
      </w:r>
      <w:proofErr w:type="spellStart"/>
      <w:r w:rsidRPr="00E35F15">
        <w:rPr>
          <w:rFonts w:ascii="Times New Roman" w:hAnsi="Times New Roman" w:cs="Times New Roman"/>
          <w:sz w:val="20"/>
          <w:szCs w:val="20"/>
        </w:rPr>
        <w:t>Hadzigeorgiou</w:t>
      </w:r>
      <w:proofErr w:type="spellEnd"/>
      <w:r w:rsidRPr="00E35F15">
        <w:rPr>
          <w:rFonts w:ascii="Times New Roman" w:hAnsi="Times New Roman" w:cs="Times New Roman"/>
          <w:sz w:val="20"/>
          <w:szCs w:val="20"/>
        </w:rPr>
        <w:t>, “Wonder: Its Nature and Its Role in the Learning Process,” in Schinkel, 187.</w:t>
      </w:r>
    </w:p>
  </w:footnote>
  <w:footnote w:id="23">
    <w:p w14:paraId="4A5D4D7D" w14:textId="14AE15B4" w:rsidR="00E35F15" w:rsidRPr="00E35F15" w:rsidRDefault="00E35F15" w:rsidP="00E35F15">
      <w:pPr>
        <w:pStyle w:val="FootnoteText"/>
        <w:ind w:firstLine="720"/>
        <w:rPr>
          <w:rFonts w:ascii="Times New Roman" w:hAnsi="Times New Roman" w:cs="Times New Roman"/>
          <w:sz w:val="20"/>
          <w:szCs w:val="20"/>
        </w:rPr>
      </w:pPr>
      <w:r w:rsidRPr="00E35F15">
        <w:rPr>
          <w:rStyle w:val="FootnoteReference"/>
          <w:rFonts w:ascii="Times New Roman" w:hAnsi="Times New Roman" w:cs="Times New Roman"/>
          <w:sz w:val="20"/>
          <w:szCs w:val="20"/>
        </w:rPr>
        <w:footnoteRef/>
      </w:r>
      <w:r w:rsidRPr="00E35F15">
        <w:rPr>
          <w:rFonts w:ascii="Times New Roman" w:hAnsi="Times New Roman" w:cs="Times New Roman"/>
          <w:sz w:val="20"/>
          <w:szCs w:val="20"/>
        </w:rPr>
        <w:t xml:space="preserve"> </w:t>
      </w:r>
      <w:proofErr w:type="spellStart"/>
      <w:r w:rsidRPr="00E35F15">
        <w:rPr>
          <w:rFonts w:ascii="Times New Roman" w:hAnsi="Times New Roman" w:cs="Times New Roman"/>
          <w:sz w:val="20"/>
          <w:szCs w:val="20"/>
        </w:rPr>
        <w:t>Hadzigeorgiou</w:t>
      </w:r>
      <w:proofErr w:type="spellEnd"/>
      <w:r w:rsidRPr="00E35F15">
        <w:rPr>
          <w:rFonts w:ascii="Times New Roman" w:hAnsi="Times New Roman" w:cs="Times New Roman"/>
          <w:sz w:val="20"/>
          <w:szCs w:val="20"/>
        </w:rPr>
        <w:t xml:space="preserve">, “Wonder,” 189; Marina </w:t>
      </w:r>
      <w:proofErr w:type="spellStart"/>
      <w:r w:rsidRPr="00E35F15">
        <w:rPr>
          <w:rFonts w:ascii="Times New Roman" w:hAnsi="Times New Roman" w:cs="Times New Roman"/>
          <w:sz w:val="20"/>
          <w:szCs w:val="20"/>
        </w:rPr>
        <w:t>Bazhydai</w:t>
      </w:r>
      <w:proofErr w:type="spellEnd"/>
      <w:r w:rsidRPr="00E35F15">
        <w:rPr>
          <w:rFonts w:ascii="Times New Roman" w:hAnsi="Times New Roman" w:cs="Times New Roman"/>
          <w:sz w:val="20"/>
          <w:szCs w:val="20"/>
        </w:rPr>
        <w:t xml:space="preserve"> and Gert Westermann, “From Curiosity, to Wonder, to Creativity: A Cognitive Developmental Psychological Perspective,” in Schinkel, 151.</w:t>
      </w:r>
    </w:p>
  </w:footnote>
  <w:footnote w:id="24">
    <w:p w14:paraId="426D63D8" w14:textId="674DEA36" w:rsidR="00E35F15" w:rsidRPr="00E35F15" w:rsidRDefault="00E35F15" w:rsidP="00E35F15">
      <w:pPr>
        <w:pStyle w:val="FootnoteText"/>
        <w:ind w:firstLine="720"/>
        <w:rPr>
          <w:rFonts w:ascii="Times New Roman" w:hAnsi="Times New Roman" w:cs="Times New Roman"/>
          <w:sz w:val="20"/>
          <w:szCs w:val="20"/>
        </w:rPr>
      </w:pPr>
      <w:r w:rsidRPr="00E35F15">
        <w:rPr>
          <w:rStyle w:val="FootnoteReference"/>
          <w:rFonts w:ascii="Times New Roman" w:hAnsi="Times New Roman" w:cs="Times New Roman"/>
          <w:sz w:val="20"/>
          <w:szCs w:val="20"/>
        </w:rPr>
        <w:footnoteRef/>
      </w:r>
      <w:r w:rsidRPr="00E35F15">
        <w:rPr>
          <w:rFonts w:ascii="Times New Roman" w:hAnsi="Times New Roman" w:cs="Times New Roman"/>
          <w:sz w:val="20"/>
          <w:szCs w:val="20"/>
        </w:rPr>
        <w:t xml:space="preserve"> Brown, </w:t>
      </w:r>
      <w:r w:rsidRPr="00E35F15">
        <w:rPr>
          <w:rFonts w:ascii="Times New Roman" w:hAnsi="Times New Roman" w:cs="Times New Roman"/>
          <w:i/>
          <w:sz w:val="20"/>
          <w:szCs w:val="20"/>
        </w:rPr>
        <w:t xml:space="preserve">Wisdom’s Wonder, </w:t>
      </w:r>
      <w:r w:rsidR="0065246C">
        <w:rPr>
          <w:rFonts w:ascii="Times New Roman" w:hAnsi="Times New Roman" w:cs="Times New Roman"/>
          <w:sz w:val="20"/>
          <w:szCs w:val="20"/>
        </w:rPr>
        <w:t>2</w:t>
      </w:r>
      <w:r w:rsidRPr="00E35F15">
        <w:rPr>
          <w:rFonts w:ascii="Times New Roman" w:hAnsi="Times New Roman" w:cs="Times New Roman"/>
          <w:sz w:val="20"/>
          <w:szCs w:val="20"/>
        </w:rPr>
        <w:t>3.</w:t>
      </w:r>
    </w:p>
  </w:footnote>
  <w:footnote w:id="25">
    <w:p w14:paraId="54761898" w14:textId="0E8BF44E" w:rsidR="00E35F15" w:rsidRDefault="00E35F15" w:rsidP="00E35F15">
      <w:pPr>
        <w:pStyle w:val="FootnoteText"/>
        <w:ind w:firstLine="720"/>
      </w:pPr>
      <w:r w:rsidRPr="00E35F15">
        <w:rPr>
          <w:rStyle w:val="FootnoteReference"/>
          <w:rFonts w:ascii="Times New Roman" w:hAnsi="Times New Roman" w:cs="Times New Roman"/>
          <w:sz w:val="20"/>
          <w:szCs w:val="20"/>
        </w:rPr>
        <w:footnoteRef/>
      </w:r>
      <w:r w:rsidRPr="00E35F15">
        <w:rPr>
          <w:rFonts w:ascii="Times New Roman" w:hAnsi="Times New Roman" w:cs="Times New Roman"/>
          <w:sz w:val="20"/>
          <w:szCs w:val="20"/>
        </w:rPr>
        <w:t xml:space="preserve"> </w:t>
      </w:r>
      <w:proofErr w:type="spellStart"/>
      <w:r w:rsidRPr="00E35F15">
        <w:rPr>
          <w:rFonts w:ascii="Times New Roman" w:hAnsi="Times New Roman" w:cs="Times New Roman"/>
          <w:sz w:val="20"/>
          <w:szCs w:val="20"/>
        </w:rPr>
        <w:t>Bazhydai</w:t>
      </w:r>
      <w:proofErr w:type="spellEnd"/>
      <w:r w:rsidRPr="00E35F15">
        <w:rPr>
          <w:rFonts w:ascii="Times New Roman" w:hAnsi="Times New Roman" w:cs="Times New Roman"/>
          <w:sz w:val="20"/>
          <w:szCs w:val="20"/>
        </w:rPr>
        <w:t xml:space="preserve"> and Westermann, “From Curiosity, to Wonder, to Creativity,” 151, emphasis added.</w:t>
      </w:r>
    </w:p>
  </w:footnote>
  <w:footnote w:id="26">
    <w:p w14:paraId="1C5BEEFD" w14:textId="00B212A2" w:rsidR="0065246C" w:rsidRPr="0065246C" w:rsidRDefault="0065246C" w:rsidP="0065246C">
      <w:pPr>
        <w:pStyle w:val="FootnoteText"/>
        <w:ind w:firstLine="720"/>
        <w:rPr>
          <w:rFonts w:ascii="Times New Roman" w:hAnsi="Times New Roman" w:cs="Times New Roman"/>
          <w:sz w:val="20"/>
          <w:szCs w:val="20"/>
        </w:rPr>
      </w:pPr>
      <w:r w:rsidRPr="0065246C">
        <w:rPr>
          <w:rStyle w:val="FootnoteReference"/>
          <w:rFonts w:ascii="Times New Roman" w:hAnsi="Times New Roman" w:cs="Times New Roman"/>
          <w:sz w:val="20"/>
          <w:szCs w:val="20"/>
        </w:rPr>
        <w:footnoteRef/>
      </w:r>
      <w:r w:rsidRPr="0065246C">
        <w:rPr>
          <w:rFonts w:ascii="Times New Roman" w:hAnsi="Times New Roman" w:cs="Times New Roman"/>
          <w:sz w:val="20"/>
          <w:szCs w:val="20"/>
        </w:rPr>
        <w:t xml:space="preserve"> Brown, </w:t>
      </w:r>
      <w:r w:rsidRPr="0065246C">
        <w:rPr>
          <w:rFonts w:ascii="Times New Roman" w:hAnsi="Times New Roman" w:cs="Times New Roman"/>
          <w:i/>
          <w:sz w:val="20"/>
          <w:szCs w:val="20"/>
        </w:rPr>
        <w:t xml:space="preserve">Wisdom’s Wonder, </w:t>
      </w:r>
      <w:r w:rsidRPr="0065246C">
        <w:rPr>
          <w:rFonts w:ascii="Times New Roman" w:hAnsi="Times New Roman" w:cs="Times New Roman"/>
          <w:sz w:val="20"/>
          <w:szCs w:val="20"/>
        </w:rPr>
        <w:t>20-23.</w:t>
      </w:r>
    </w:p>
  </w:footnote>
  <w:footnote w:id="27">
    <w:p w14:paraId="64972907" w14:textId="55439F9B" w:rsidR="00804B87" w:rsidRPr="00804B87" w:rsidRDefault="00804B87" w:rsidP="00804B87">
      <w:pPr>
        <w:pStyle w:val="FootnoteText"/>
        <w:ind w:firstLine="720"/>
        <w:rPr>
          <w:rFonts w:ascii="Times New Roman" w:hAnsi="Times New Roman" w:cs="Times New Roman"/>
          <w:sz w:val="20"/>
          <w:szCs w:val="20"/>
        </w:rPr>
      </w:pPr>
      <w:r w:rsidRPr="00804B87">
        <w:rPr>
          <w:rStyle w:val="FootnoteReference"/>
          <w:rFonts w:ascii="Times New Roman" w:hAnsi="Times New Roman" w:cs="Times New Roman"/>
          <w:sz w:val="20"/>
          <w:szCs w:val="20"/>
        </w:rPr>
        <w:footnoteRef/>
      </w:r>
      <w:r w:rsidRPr="00804B87">
        <w:rPr>
          <w:rFonts w:ascii="Times New Roman" w:hAnsi="Times New Roman" w:cs="Times New Roman"/>
          <w:sz w:val="20"/>
          <w:szCs w:val="20"/>
        </w:rPr>
        <w:t xml:space="preserve"> </w:t>
      </w:r>
      <w:proofErr w:type="spellStart"/>
      <w:r w:rsidRPr="00804B87">
        <w:rPr>
          <w:rFonts w:ascii="Times New Roman" w:hAnsi="Times New Roman" w:cs="Times New Roman"/>
          <w:sz w:val="20"/>
          <w:szCs w:val="20"/>
        </w:rPr>
        <w:t>Hadzigeorgiou</w:t>
      </w:r>
      <w:proofErr w:type="spellEnd"/>
      <w:r w:rsidRPr="00804B87">
        <w:rPr>
          <w:rFonts w:ascii="Times New Roman" w:hAnsi="Times New Roman" w:cs="Times New Roman"/>
          <w:sz w:val="20"/>
          <w:szCs w:val="20"/>
        </w:rPr>
        <w:t>, “Wonder,” 207.</w:t>
      </w:r>
    </w:p>
  </w:footnote>
  <w:footnote w:id="28">
    <w:p w14:paraId="5D806339" w14:textId="61908886" w:rsidR="00804B87" w:rsidRPr="00804B87" w:rsidRDefault="00804B87" w:rsidP="00804B87">
      <w:pPr>
        <w:pStyle w:val="FootnoteText"/>
        <w:ind w:firstLine="720"/>
        <w:rPr>
          <w:rFonts w:ascii="Times New Roman" w:hAnsi="Times New Roman" w:cs="Times New Roman"/>
          <w:sz w:val="20"/>
          <w:szCs w:val="20"/>
        </w:rPr>
      </w:pPr>
      <w:r w:rsidRPr="00804B87">
        <w:rPr>
          <w:rStyle w:val="FootnoteReference"/>
          <w:rFonts w:ascii="Times New Roman" w:hAnsi="Times New Roman" w:cs="Times New Roman"/>
          <w:sz w:val="20"/>
          <w:szCs w:val="20"/>
        </w:rPr>
        <w:footnoteRef/>
      </w:r>
      <w:r w:rsidRPr="00804B87">
        <w:rPr>
          <w:rFonts w:ascii="Times New Roman" w:hAnsi="Times New Roman" w:cs="Times New Roman"/>
          <w:sz w:val="20"/>
          <w:szCs w:val="20"/>
        </w:rPr>
        <w:t xml:space="preserve"> Laura </w:t>
      </w:r>
      <w:proofErr w:type="spellStart"/>
      <w:r w:rsidRPr="00804B87">
        <w:rPr>
          <w:rFonts w:ascii="Times New Roman" w:hAnsi="Times New Roman" w:cs="Times New Roman"/>
          <w:sz w:val="20"/>
          <w:szCs w:val="20"/>
        </w:rPr>
        <w:t>D’Olimpio</w:t>
      </w:r>
      <w:proofErr w:type="spellEnd"/>
      <w:r w:rsidRPr="00804B87">
        <w:rPr>
          <w:rFonts w:ascii="Times New Roman" w:hAnsi="Times New Roman" w:cs="Times New Roman"/>
          <w:sz w:val="20"/>
          <w:szCs w:val="20"/>
        </w:rPr>
        <w:t>, “Education and the Arts: Inspiring Wonder,” in Schinkel, 259, 266.</w:t>
      </w:r>
    </w:p>
  </w:footnote>
  <w:footnote w:id="29">
    <w:p w14:paraId="471BF806" w14:textId="2A406DCF" w:rsidR="009A1FBA" w:rsidRPr="009A1FBA" w:rsidRDefault="009A1FBA" w:rsidP="009A1FBA">
      <w:pPr>
        <w:pStyle w:val="FootnoteText"/>
        <w:ind w:firstLine="720"/>
        <w:rPr>
          <w:rFonts w:ascii="Times New Roman" w:hAnsi="Times New Roman" w:cs="Times New Roman"/>
          <w:sz w:val="20"/>
          <w:szCs w:val="20"/>
        </w:rPr>
      </w:pPr>
      <w:r w:rsidRPr="009A1FBA">
        <w:rPr>
          <w:rStyle w:val="FootnoteReference"/>
          <w:rFonts w:ascii="Times New Roman" w:hAnsi="Times New Roman" w:cs="Times New Roman"/>
          <w:sz w:val="20"/>
          <w:szCs w:val="20"/>
        </w:rPr>
        <w:footnoteRef/>
      </w:r>
      <w:r w:rsidRPr="009A1FBA">
        <w:rPr>
          <w:rFonts w:ascii="Times New Roman" w:hAnsi="Times New Roman" w:cs="Times New Roman"/>
          <w:sz w:val="20"/>
          <w:szCs w:val="20"/>
        </w:rPr>
        <w:t xml:space="preserve"> For a deeper theoretical exploration of embodied knowledge, as well as other practical applications in the religious education classroom, see Lauren Calvin Cooke, “Deep in the Body: Neurodiversity and Embodied Knowledge in Youth Ministry,” </w:t>
      </w:r>
      <w:r w:rsidRPr="009A1FBA">
        <w:rPr>
          <w:rFonts w:ascii="Times New Roman" w:hAnsi="Times New Roman" w:cs="Times New Roman"/>
          <w:i/>
          <w:sz w:val="20"/>
          <w:szCs w:val="20"/>
        </w:rPr>
        <w:t xml:space="preserve">JYM </w:t>
      </w:r>
      <w:r w:rsidRPr="009A1FBA">
        <w:rPr>
          <w:rFonts w:ascii="Times New Roman" w:hAnsi="Times New Roman" w:cs="Times New Roman"/>
          <w:sz w:val="20"/>
          <w:szCs w:val="20"/>
        </w:rPr>
        <w:t>19</w:t>
      </w:r>
      <w:r w:rsidR="00E60512">
        <w:rPr>
          <w:rFonts w:ascii="Times New Roman" w:hAnsi="Times New Roman" w:cs="Times New Roman"/>
          <w:sz w:val="20"/>
          <w:szCs w:val="20"/>
        </w:rPr>
        <w:t xml:space="preserve"> no. 1</w:t>
      </w:r>
      <w:r w:rsidRPr="009A1FBA">
        <w:rPr>
          <w:rFonts w:ascii="Times New Roman" w:hAnsi="Times New Roman" w:cs="Times New Roman"/>
          <w:sz w:val="20"/>
          <w:szCs w:val="20"/>
        </w:rPr>
        <w:t xml:space="preserve"> (2021)</w:t>
      </w:r>
      <w:r w:rsidR="00E60512">
        <w:rPr>
          <w:rFonts w:ascii="Times New Roman" w:hAnsi="Times New Roman" w:cs="Times New Roman"/>
          <w:sz w:val="20"/>
          <w:szCs w:val="20"/>
        </w:rPr>
        <w:t>: 68-89.</w:t>
      </w:r>
    </w:p>
  </w:footnote>
  <w:footnote w:id="30">
    <w:p w14:paraId="44D5499B" w14:textId="18FBB105" w:rsidR="009A1FBA" w:rsidRPr="009A1FBA" w:rsidRDefault="009A1FBA" w:rsidP="009A1FBA">
      <w:pPr>
        <w:pStyle w:val="FootnoteText"/>
        <w:ind w:firstLine="720"/>
        <w:rPr>
          <w:rFonts w:ascii="Times New Roman" w:hAnsi="Times New Roman" w:cs="Times New Roman"/>
          <w:sz w:val="20"/>
          <w:szCs w:val="20"/>
        </w:rPr>
      </w:pPr>
      <w:r w:rsidRPr="009A1FBA">
        <w:rPr>
          <w:rStyle w:val="FootnoteReference"/>
          <w:rFonts w:ascii="Times New Roman" w:hAnsi="Times New Roman" w:cs="Times New Roman"/>
          <w:sz w:val="20"/>
          <w:szCs w:val="20"/>
        </w:rPr>
        <w:footnoteRef/>
      </w:r>
      <w:r w:rsidRPr="009A1FBA">
        <w:rPr>
          <w:rFonts w:ascii="Times New Roman" w:hAnsi="Times New Roman" w:cs="Times New Roman"/>
          <w:sz w:val="20"/>
          <w:szCs w:val="20"/>
        </w:rPr>
        <w:t xml:space="preserve"> Jerome W. Berryman, </w:t>
      </w:r>
      <w:r w:rsidRPr="009A1FBA">
        <w:rPr>
          <w:rFonts w:ascii="Times New Roman" w:hAnsi="Times New Roman" w:cs="Times New Roman"/>
          <w:i/>
          <w:sz w:val="20"/>
          <w:szCs w:val="20"/>
        </w:rPr>
        <w:t xml:space="preserve">Godly Play: A Way of Religious Education </w:t>
      </w:r>
      <w:r w:rsidRPr="009A1FBA">
        <w:rPr>
          <w:rFonts w:ascii="Times New Roman" w:hAnsi="Times New Roman" w:cs="Times New Roman"/>
          <w:sz w:val="20"/>
          <w:szCs w:val="20"/>
        </w:rPr>
        <w:t>(San Francisco: HarperCollins, 1991), 33-34.</w:t>
      </w:r>
    </w:p>
  </w:footnote>
  <w:footnote w:id="31">
    <w:p w14:paraId="6CC3A137" w14:textId="235F8617" w:rsidR="003F29BE" w:rsidRPr="003F29BE" w:rsidRDefault="003F29BE" w:rsidP="003F29BE">
      <w:pPr>
        <w:pStyle w:val="FootnoteText"/>
        <w:ind w:firstLine="720"/>
        <w:rPr>
          <w:rFonts w:ascii="Times New Roman" w:hAnsi="Times New Roman" w:cs="Times New Roman"/>
          <w:sz w:val="20"/>
          <w:szCs w:val="20"/>
        </w:rPr>
      </w:pPr>
      <w:r w:rsidRPr="003F29BE">
        <w:rPr>
          <w:rStyle w:val="FootnoteReference"/>
          <w:rFonts w:ascii="Times New Roman" w:hAnsi="Times New Roman" w:cs="Times New Roman"/>
          <w:sz w:val="20"/>
          <w:szCs w:val="20"/>
        </w:rPr>
        <w:footnoteRef/>
      </w:r>
      <w:r w:rsidRPr="003F29BE">
        <w:rPr>
          <w:rFonts w:ascii="Times New Roman" w:hAnsi="Times New Roman" w:cs="Times New Roman"/>
          <w:sz w:val="20"/>
          <w:szCs w:val="20"/>
        </w:rPr>
        <w:t xml:space="preserve"> David </w:t>
      </w:r>
      <w:r w:rsidR="008617D9">
        <w:rPr>
          <w:rFonts w:ascii="Times New Roman" w:hAnsi="Times New Roman" w:cs="Times New Roman"/>
          <w:sz w:val="20"/>
          <w:szCs w:val="20"/>
        </w:rPr>
        <w:t xml:space="preserve">F. </w:t>
      </w:r>
      <w:r w:rsidRPr="003F29BE">
        <w:rPr>
          <w:rFonts w:ascii="Times New Roman" w:hAnsi="Times New Roman" w:cs="Times New Roman"/>
          <w:sz w:val="20"/>
          <w:szCs w:val="20"/>
        </w:rPr>
        <w:t xml:space="preserve">White, </w:t>
      </w:r>
      <w:r w:rsidRPr="003F29BE">
        <w:rPr>
          <w:rFonts w:ascii="Times New Roman" w:hAnsi="Times New Roman" w:cs="Times New Roman"/>
          <w:i/>
          <w:sz w:val="20"/>
          <w:szCs w:val="20"/>
        </w:rPr>
        <w:t>Practicing Discernment</w:t>
      </w:r>
      <w:r w:rsidR="008617D9">
        <w:rPr>
          <w:rFonts w:ascii="Times New Roman" w:hAnsi="Times New Roman" w:cs="Times New Roman"/>
          <w:i/>
          <w:sz w:val="20"/>
          <w:szCs w:val="20"/>
        </w:rPr>
        <w:t xml:space="preserve"> with Youth: A Transformative Ministry Approach, </w:t>
      </w:r>
      <w:r w:rsidR="008617D9">
        <w:rPr>
          <w:rFonts w:ascii="Times New Roman" w:hAnsi="Times New Roman" w:cs="Times New Roman"/>
          <w:sz w:val="20"/>
          <w:szCs w:val="20"/>
        </w:rPr>
        <w:t>Youth Ministry Alternatives (Cleveland: Pilgrim Press, 2005),</w:t>
      </w:r>
      <w:r w:rsidRPr="003F29BE">
        <w:rPr>
          <w:rFonts w:ascii="Times New Roman" w:hAnsi="Times New Roman" w:cs="Times New Roman"/>
          <w:i/>
          <w:sz w:val="20"/>
          <w:szCs w:val="20"/>
        </w:rPr>
        <w:t xml:space="preserve"> </w:t>
      </w:r>
      <w:r w:rsidRPr="003F29BE">
        <w:rPr>
          <w:rFonts w:ascii="Times New Roman" w:hAnsi="Times New Roman" w:cs="Times New Roman"/>
          <w:sz w:val="20"/>
          <w:szCs w:val="20"/>
        </w:rPr>
        <w:t>115.</w:t>
      </w:r>
    </w:p>
  </w:footnote>
  <w:footnote w:id="32">
    <w:p w14:paraId="29B00C92" w14:textId="4011793B" w:rsidR="003F29BE" w:rsidRPr="003F29BE" w:rsidRDefault="003F29BE" w:rsidP="003F29BE">
      <w:pPr>
        <w:pStyle w:val="FootnoteText"/>
        <w:ind w:firstLine="720"/>
        <w:rPr>
          <w:rFonts w:ascii="Times New Roman" w:hAnsi="Times New Roman" w:cs="Times New Roman"/>
          <w:sz w:val="20"/>
          <w:szCs w:val="20"/>
        </w:rPr>
      </w:pPr>
      <w:r w:rsidRPr="003F29BE">
        <w:rPr>
          <w:rStyle w:val="FootnoteReference"/>
          <w:rFonts w:ascii="Times New Roman" w:hAnsi="Times New Roman" w:cs="Times New Roman"/>
          <w:sz w:val="20"/>
          <w:szCs w:val="20"/>
        </w:rPr>
        <w:footnoteRef/>
      </w:r>
      <w:r w:rsidRPr="003F29BE">
        <w:rPr>
          <w:rFonts w:ascii="Times New Roman" w:hAnsi="Times New Roman" w:cs="Times New Roman"/>
          <w:sz w:val="20"/>
          <w:szCs w:val="20"/>
        </w:rPr>
        <w:t xml:space="preserve"> </w:t>
      </w:r>
      <w:r w:rsidR="006D7421">
        <w:rPr>
          <w:rFonts w:ascii="Times New Roman" w:hAnsi="Times New Roman" w:cs="Times New Roman"/>
          <w:sz w:val="20"/>
          <w:szCs w:val="20"/>
        </w:rPr>
        <w:t xml:space="preserve">Brian J. Mahan, Michael Warren, and David F. White, </w:t>
      </w:r>
      <w:r w:rsidR="006D7421">
        <w:rPr>
          <w:rFonts w:ascii="Times New Roman" w:hAnsi="Times New Roman" w:cs="Times New Roman"/>
          <w:i/>
          <w:sz w:val="20"/>
          <w:szCs w:val="20"/>
        </w:rPr>
        <w:t xml:space="preserve">Awakening Youth Discipleship: Christian Resistance in a Consumer Culture </w:t>
      </w:r>
      <w:r w:rsidR="006D7421">
        <w:rPr>
          <w:rFonts w:ascii="Times New Roman" w:hAnsi="Times New Roman" w:cs="Times New Roman"/>
          <w:sz w:val="20"/>
          <w:szCs w:val="20"/>
        </w:rPr>
        <w:t>(Eugene: Cascade Books, 2008),</w:t>
      </w:r>
      <w:r w:rsidRPr="003F29BE">
        <w:rPr>
          <w:rFonts w:ascii="Times New Roman" w:hAnsi="Times New Roman" w:cs="Times New Roman"/>
          <w:sz w:val="20"/>
          <w:szCs w:val="20"/>
        </w:rPr>
        <w:t xml:space="preserve"> 23.</w:t>
      </w:r>
    </w:p>
  </w:footnote>
  <w:footnote w:id="33">
    <w:p w14:paraId="705EDBF6" w14:textId="3DC7C3E4" w:rsidR="009F77DA" w:rsidRPr="009F77DA" w:rsidRDefault="009F77DA" w:rsidP="009F77DA">
      <w:pPr>
        <w:pStyle w:val="FootnoteText"/>
        <w:ind w:firstLine="720"/>
        <w:rPr>
          <w:rFonts w:ascii="Times New Roman" w:hAnsi="Times New Roman" w:cs="Times New Roman"/>
          <w:sz w:val="20"/>
          <w:szCs w:val="20"/>
        </w:rPr>
      </w:pPr>
      <w:r w:rsidRPr="009F77DA">
        <w:rPr>
          <w:rStyle w:val="FootnoteReference"/>
          <w:rFonts w:ascii="Times New Roman" w:hAnsi="Times New Roman" w:cs="Times New Roman"/>
          <w:sz w:val="20"/>
          <w:szCs w:val="20"/>
        </w:rPr>
        <w:footnoteRef/>
      </w:r>
      <w:r w:rsidRPr="009F77DA">
        <w:rPr>
          <w:rFonts w:ascii="Times New Roman" w:hAnsi="Times New Roman" w:cs="Times New Roman"/>
          <w:sz w:val="20"/>
          <w:szCs w:val="20"/>
        </w:rPr>
        <w:t xml:space="preserve"> See </w:t>
      </w:r>
      <w:r w:rsidR="00E2695B">
        <w:rPr>
          <w:rFonts w:ascii="Times New Roman" w:hAnsi="Times New Roman" w:cs="Times New Roman"/>
          <w:sz w:val="20"/>
          <w:szCs w:val="20"/>
        </w:rPr>
        <w:t xml:space="preserve">Elizabeth W. </w:t>
      </w:r>
      <w:r w:rsidRPr="009F77DA">
        <w:rPr>
          <w:rFonts w:ascii="Times New Roman" w:hAnsi="Times New Roman" w:cs="Times New Roman"/>
          <w:sz w:val="20"/>
          <w:szCs w:val="20"/>
        </w:rPr>
        <w:t xml:space="preserve">Corrie, </w:t>
      </w:r>
      <w:r w:rsidRPr="009F77DA">
        <w:rPr>
          <w:rFonts w:ascii="Times New Roman" w:hAnsi="Times New Roman" w:cs="Times New Roman"/>
          <w:i/>
          <w:sz w:val="20"/>
          <w:szCs w:val="20"/>
        </w:rPr>
        <w:t>Youth Ministry as Peace Education</w:t>
      </w:r>
      <w:r w:rsidR="00E2695B">
        <w:rPr>
          <w:rFonts w:ascii="Times New Roman" w:hAnsi="Times New Roman" w:cs="Times New Roman"/>
          <w:i/>
          <w:sz w:val="20"/>
          <w:szCs w:val="20"/>
        </w:rPr>
        <w:t xml:space="preserve">: Overcoming Silence, Transforming Violence </w:t>
      </w:r>
      <w:r w:rsidR="00E2695B">
        <w:rPr>
          <w:rFonts w:ascii="Times New Roman" w:hAnsi="Times New Roman" w:cs="Times New Roman"/>
          <w:sz w:val="20"/>
          <w:szCs w:val="20"/>
        </w:rPr>
        <w:t>(Minneapolis: Fortress, 2021)</w:t>
      </w:r>
      <w:r w:rsidRPr="009F77DA">
        <w:rPr>
          <w:rFonts w:ascii="Times New Roman" w:hAnsi="Times New Roman" w:cs="Times New Roman"/>
          <w:i/>
          <w:sz w:val="20"/>
          <w:szCs w:val="20"/>
        </w:rPr>
        <w:t xml:space="preserve">, </w:t>
      </w:r>
      <w:r w:rsidRPr="009F77DA">
        <w:rPr>
          <w:rFonts w:ascii="Times New Roman" w:hAnsi="Times New Roman" w:cs="Times New Roman"/>
          <w:sz w:val="20"/>
          <w:szCs w:val="20"/>
        </w:rPr>
        <w:t>69-70.</w:t>
      </w:r>
    </w:p>
  </w:footnote>
  <w:footnote w:id="34">
    <w:p w14:paraId="6DE61762" w14:textId="016C0248" w:rsidR="002D77CE" w:rsidRPr="002D77CE" w:rsidRDefault="002D77CE" w:rsidP="002D77CE">
      <w:pPr>
        <w:pStyle w:val="FootnoteText"/>
        <w:ind w:firstLine="720"/>
        <w:rPr>
          <w:rFonts w:ascii="Times New Roman" w:hAnsi="Times New Roman" w:cs="Times New Roman"/>
          <w:sz w:val="20"/>
          <w:szCs w:val="20"/>
        </w:rPr>
      </w:pPr>
      <w:r w:rsidRPr="002D77CE">
        <w:rPr>
          <w:rStyle w:val="FootnoteReference"/>
          <w:rFonts w:ascii="Times New Roman" w:hAnsi="Times New Roman" w:cs="Times New Roman"/>
          <w:sz w:val="20"/>
          <w:szCs w:val="20"/>
        </w:rPr>
        <w:footnoteRef/>
      </w:r>
      <w:r w:rsidRPr="002D77CE">
        <w:rPr>
          <w:rFonts w:ascii="Times New Roman" w:hAnsi="Times New Roman" w:cs="Times New Roman"/>
          <w:sz w:val="20"/>
          <w:szCs w:val="20"/>
        </w:rPr>
        <w:t xml:space="preserve"> Valentine </w:t>
      </w:r>
      <w:proofErr w:type="spellStart"/>
      <w:r w:rsidRPr="002D77CE">
        <w:rPr>
          <w:rFonts w:ascii="Times New Roman" w:hAnsi="Times New Roman" w:cs="Times New Roman"/>
          <w:sz w:val="20"/>
          <w:szCs w:val="20"/>
        </w:rPr>
        <w:t>Banfegha</w:t>
      </w:r>
      <w:proofErr w:type="spellEnd"/>
      <w:r w:rsidRPr="002D77CE">
        <w:rPr>
          <w:rFonts w:ascii="Times New Roman" w:hAnsi="Times New Roman" w:cs="Times New Roman"/>
          <w:sz w:val="20"/>
          <w:szCs w:val="20"/>
        </w:rPr>
        <w:t xml:space="preserve"> </w:t>
      </w:r>
      <w:proofErr w:type="spellStart"/>
      <w:r w:rsidRPr="002D77CE">
        <w:rPr>
          <w:rFonts w:ascii="Times New Roman" w:hAnsi="Times New Roman" w:cs="Times New Roman"/>
          <w:sz w:val="20"/>
          <w:szCs w:val="20"/>
        </w:rPr>
        <w:t>Ngalim</w:t>
      </w:r>
      <w:proofErr w:type="spellEnd"/>
      <w:r w:rsidRPr="002D77CE">
        <w:rPr>
          <w:rFonts w:ascii="Times New Roman" w:hAnsi="Times New Roman" w:cs="Times New Roman"/>
          <w:sz w:val="20"/>
          <w:szCs w:val="20"/>
        </w:rPr>
        <w:t xml:space="preserve"> and </w:t>
      </w:r>
      <w:proofErr w:type="spellStart"/>
      <w:r w:rsidRPr="002D77CE">
        <w:rPr>
          <w:rFonts w:ascii="Times New Roman" w:hAnsi="Times New Roman" w:cs="Times New Roman"/>
          <w:sz w:val="20"/>
          <w:szCs w:val="20"/>
        </w:rPr>
        <w:t>Fomutar</w:t>
      </w:r>
      <w:proofErr w:type="spellEnd"/>
      <w:r w:rsidRPr="002D77CE">
        <w:rPr>
          <w:rFonts w:ascii="Times New Roman" w:hAnsi="Times New Roman" w:cs="Times New Roman"/>
          <w:sz w:val="20"/>
          <w:szCs w:val="20"/>
        </w:rPr>
        <w:t xml:space="preserve"> Stanislau</w:t>
      </w:r>
      <w:r>
        <w:rPr>
          <w:rFonts w:ascii="Times New Roman" w:hAnsi="Times New Roman" w:cs="Times New Roman"/>
          <w:sz w:val="20"/>
          <w:szCs w:val="20"/>
        </w:rPr>
        <w:t>s</w:t>
      </w:r>
      <w:r w:rsidRPr="002D77CE">
        <w:rPr>
          <w:rFonts w:ascii="Times New Roman" w:hAnsi="Times New Roman" w:cs="Times New Roman"/>
          <w:sz w:val="20"/>
          <w:szCs w:val="20"/>
        </w:rPr>
        <w:t>, “Using Oral Traditions in Provoking Pupils to Wonder and Grow in Moral and Intellectual Virtues,” in Schinkel, 242.</w:t>
      </w:r>
    </w:p>
  </w:footnote>
  <w:footnote w:id="35">
    <w:p w14:paraId="79B1ABFA" w14:textId="14AE882D" w:rsidR="007E159F" w:rsidRPr="007E159F" w:rsidRDefault="007E159F" w:rsidP="007E159F">
      <w:pPr>
        <w:pStyle w:val="FootnoteText"/>
        <w:ind w:firstLine="720"/>
        <w:rPr>
          <w:rFonts w:ascii="Times New Roman" w:hAnsi="Times New Roman" w:cs="Times New Roman"/>
          <w:sz w:val="20"/>
          <w:szCs w:val="20"/>
        </w:rPr>
      </w:pPr>
      <w:r w:rsidRPr="007E159F">
        <w:rPr>
          <w:rStyle w:val="FootnoteReference"/>
          <w:rFonts w:ascii="Times New Roman" w:hAnsi="Times New Roman" w:cs="Times New Roman"/>
          <w:sz w:val="20"/>
          <w:szCs w:val="20"/>
        </w:rPr>
        <w:footnoteRef/>
      </w:r>
      <w:r w:rsidRPr="007E159F">
        <w:rPr>
          <w:rFonts w:ascii="Times New Roman" w:hAnsi="Times New Roman" w:cs="Times New Roman"/>
          <w:sz w:val="20"/>
          <w:szCs w:val="20"/>
        </w:rPr>
        <w:t xml:space="preserve"> Fred B. Craddock, </w:t>
      </w:r>
      <w:r w:rsidRPr="007E159F">
        <w:rPr>
          <w:rFonts w:ascii="Times New Roman" w:hAnsi="Times New Roman" w:cs="Times New Roman"/>
          <w:i/>
          <w:sz w:val="20"/>
          <w:szCs w:val="20"/>
        </w:rPr>
        <w:t xml:space="preserve">Craddock Stories, </w:t>
      </w:r>
      <w:r w:rsidRPr="007E159F">
        <w:rPr>
          <w:rFonts w:ascii="Times New Roman" w:hAnsi="Times New Roman" w:cs="Times New Roman"/>
          <w:sz w:val="20"/>
          <w:szCs w:val="20"/>
        </w:rPr>
        <w:t>ed. Mike Graves and Richard F. Ward (St. Louis: Chalice Press, 2001).</w:t>
      </w:r>
    </w:p>
  </w:footnote>
  <w:footnote w:id="36">
    <w:p w14:paraId="69DA64C0" w14:textId="6DE21D8F" w:rsidR="00440C31" w:rsidRPr="00440C31" w:rsidRDefault="00440C31" w:rsidP="00440C31">
      <w:pPr>
        <w:pStyle w:val="FootnoteText"/>
        <w:ind w:firstLine="720"/>
        <w:rPr>
          <w:rFonts w:ascii="Times New Roman" w:hAnsi="Times New Roman" w:cs="Times New Roman"/>
          <w:sz w:val="20"/>
          <w:szCs w:val="20"/>
        </w:rPr>
      </w:pPr>
      <w:r w:rsidRPr="00440C31">
        <w:rPr>
          <w:rStyle w:val="FootnoteReference"/>
          <w:rFonts w:ascii="Times New Roman" w:hAnsi="Times New Roman" w:cs="Times New Roman"/>
          <w:sz w:val="20"/>
          <w:szCs w:val="20"/>
        </w:rPr>
        <w:footnoteRef/>
      </w:r>
      <w:r w:rsidRPr="00440C31">
        <w:rPr>
          <w:rFonts w:ascii="Times New Roman" w:hAnsi="Times New Roman" w:cs="Times New Roman"/>
          <w:sz w:val="20"/>
          <w:szCs w:val="20"/>
        </w:rPr>
        <w:t xml:space="preserve"> Peter H. Cariaga, personal conversation with the author.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B58"/>
    <w:rsid w:val="00044DD2"/>
    <w:rsid w:val="000F5B58"/>
    <w:rsid w:val="00110C6B"/>
    <w:rsid w:val="001139AB"/>
    <w:rsid w:val="00166147"/>
    <w:rsid w:val="00183F42"/>
    <w:rsid w:val="001C2061"/>
    <w:rsid w:val="001E0098"/>
    <w:rsid w:val="001F6B99"/>
    <w:rsid w:val="002A5AEF"/>
    <w:rsid w:val="002A7127"/>
    <w:rsid w:val="002D0FAF"/>
    <w:rsid w:val="002D77CE"/>
    <w:rsid w:val="002F6DB3"/>
    <w:rsid w:val="00320680"/>
    <w:rsid w:val="003453DC"/>
    <w:rsid w:val="00361D33"/>
    <w:rsid w:val="00374CDE"/>
    <w:rsid w:val="003E3A9B"/>
    <w:rsid w:val="003F2222"/>
    <w:rsid w:val="003F29BE"/>
    <w:rsid w:val="0043180B"/>
    <w:rsid w:val="00440C31"/>
    <w:rsid w:val="0044109E"/>
    <w:rsid w:val="0049796B"/>
    <w:rsid w:val="004D1C02"/>
    <w:rsid w:val="00520C2F"/>
    <w:rsid w:val="00556BC0"/>
    <w:rsid w:val="00604DD5"/>
    <w:rsid w:val="00652327"/>
    <w:rsid w:val="0065246C"/>
    <w:rsid w:val="0069701D"/>
    <w:rsid w:val="006D7421"/>
    <w:rsid w:val="006E2EAC"/>
    <w:rsid w:val="00747F79"/>
    <w:rsid w:val="007553A8"/>
    <w:rsid w:val="00775570"/>
    <w:rsid w:val="0079149D"/>
    <w:rsid w:val="007A1701"/>
    <w:rsid w:val="007A4C71"/>
    <w:rsid w:val="007A59AE"/>
    <w:rsid w:val="007B3546"/>
    <w:rsid w:val="007E159F"/>
    <w:rsid w:val="007F115E"/>
    <w:rsid w:val="007F538F"/>
    <w:rsid w:val="00804B87"/>
    <w:rsid w:val="00837661"/>
    <w:rsid w:val="00860686"/>
    <w:rsid w:val="008617D9"/>
    <w:rsid w:val="008B0021"/>
    <w:rsid w:val="008F05D4"/>
    <w:rsid w:val="0094723E"/>
    <w:rsid w:val="00980F1A"/>
    <w:rsid w:val="009A1FBA"/>
    <w:rsid w:val="009A6746"/>
    <w:rsid w:val="009C355A"/>
    <w:rsid w:val="009E0346"/>
    <w:rsid w:val="009F77DA"/>
    <w:rsid w:val="00A046C8"/>
    <w:rsid w:val="00A05205"/>
    <w:rsid w:val="00A3786D"/>
    <w:rsid w:val="00A5064D"/>
    <w:rsid w:val="00A7149F"/>
    <w:rsid w:val="00A9204A"/>
    <w:rsid w:val="00AB7887"/>
    <w:rsid w:val="00AD06B0"/>
    <w:rsid w:val="00B725AD"/>
    <w:rsid w:val="00C22B18"/>
    <w:rsid w:val="00C37239"/>
    <w:rsid w:val="00C520FB"/>
    <w:rsid w:val="00CC7328"/>
    <w:rsid w:val="00CD5FD0"/>
    <w:rsid w:val="00D13509"/>
    <w:rsid w:val="00D8097D"/>
    <w:rsid w:val="00DA0050"/>
    <w:rsid w:val="00DB5BEA"/>
    <w:rsid w:val="00DE0673"/>
    <w:rsid w:val="00DE162A"/>
    <w:rsid w:val="00DF1DC5"/>
    <w:rsid w:val="00DF2B60"/>
    <w:rsid w:val="00E12C44"/>
    <w:rsid w:val="00E2695B"/>
    <w:rsid w:val="00E35F15"/>
    <w:rsid w:val="00E5362D"/>
    <w:rsid w:val="00E60512"/>
    <w:rsid w:val="00E6566D"/>
    <w:rsid w:val="00E83CE1"/>
    <w:rsid w:val="00EA1256"/>
    <w:rsid w:val="00EB0FC2"/>
    <w:rsid w:val="00EC1933"/>
    <w:rsid w:val="00F278A9"/>
    <w:rsid w:val="00F53E18"/>
    <w:rsid w:val="00F86687"/>
    <w:rsid w:val="00FD4987"/>
    <w:rsid w:val="00FD7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A4787"/>
  <w14:defaultImageDpi w14:val="32767"/>
  <w15:chartTrackingRefBased/>
  <w15:docId w15:val="{C8B9E418-1038-A149-BD26-B3CD6C2D3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F5B58"/>
  </w:style>
  <w:style w:type="character" w:customStyle="1" w:styleId="FootnoteTextChar">
    <w:name w:val="Footnote Text Char"/>
    <w:basedOn w:val="DefaultParagraphFont"/>
    <w:link w:val="FootnoteText"/>
    <w:uiPriority w:val="99"/>
    <w:rsid w:val="000F5B58"/>
  </w:style>
  <w:style w:type="character" w:styleId="FootnoteReference">
    <w:name w:val="footnote reference"/>
    <w:basedOn w:val="DefaultParagraphFont"/>
    <w:uiPriority w:val="99"/>
    <w:unhideWhenUsed/>
    <w:rsid w:val="000F5B58"/>
    <w:rPr>
      <w:vertAlign w:val="superscript"/>
    </w:rPr>
  </w:style>
  <w:style w:type="character" w:styleId="Hyperlink">
    <w:name w:val="Hyperlink"/>
    <w:basedOn w:val="DefaultParagraphFont"/>
    <w:uiPriority w:val="99"/>
    <w:unhideWhenUsed/>
    <w:rsid w:val="00C22B18"/>
    <w:rPr>
      <w:color w:val="0563C1" w:themeColor="hyperlink"/>
      <w:u w:val="single"/>
    </w:rPr>
  </w:style>
  <w:style w:type="character" w:styleId="UnresolvedMention">
    <w:name w:val="Unresolved Mention"/>
    <w:basedOn w:val="DefaultParagraphFont"/>
    <w:uiPriority w:val="99"/>
    <w:rsid w:val="00C22B18"/>
    <w:rPr>
      <w:color w:val="605E5C"/>
      <w:shd w:val="clear" w:color="auto" w:fill="E1DFDD"/>
    </w:rPr>
  </w:style>
  <w:style w:type="paragraph" w:styleId="Caption">
    <w:name w:val="caption"/>
    <w:basedOn w:val="Normal"/>
    <w:next w:val="Normal"/>
    <w:uiPriority w:val="35"/>
    <w:unhideWhenUsed/>
    <w:qFormat/>
    <w:rsid w:val="00F53E18"/>
    <w:pPr>
      <w:spacing w:after="200"/>
    </w:pPr>
    <w:rPr>
      <w:i/>
      <w:iCs/>
      <w:color w:val="44546A" w:themeColor="text2"/>
      <w:sz w:val="18"/>
      <w:szCs w:val="18"/>
    </w:rPr>
  </w:style>
  <w:style w:type="paragraph" w:styleId="Footer">
    <w:name w:val="footer"/>
    <w:basedOn w:val="Normal"/>
    <w:link w:val="FooterChar"/>
    <w:uiPriority w:val="99"/>
    <w:unhideWhenUsed/>
    <w:rsid w:val="007F538F"/>
    <w:pPr>
      <w:tabs>
        <w:tab w:val="center" w:pos="4680"/>
        <w:tab w:val="right" w:pos="9360"/>
      </w:tabs>
    </w:pPr>
  </w:style>
  <w:style w:type="character" w:customStyle="1" w:styleId="FooterChar">
    <w:name w:val="Footer Char"/>
    <w:basedOn w:val="DefaultParagraphFont"/>
    <w:link w:val="Footer"/>
    <w:uiPriority w:val="99"/>
    <w:rsid w:val="007F538F"/>
  </w:style>
  <w:style w:type="character" w:styleId="PageNumber">
    <w:name w:val="page number"/>
    <w:basedOn w:val="DefaultParagraphFont"/>
    <w:uiPriority w:val="99"/>
    <w:semiHidden/>
    <w:unhideWhenUsed/>
    <w:rsid w:val="007F538F"/>
  </w:style>
  <w:style w:type="paragraph" w:styleId="NormalWeb">
    <w:name w:val="Normal (Web)"/>
    <w:basedOn w:val="Normal"/>
    <w:uiPriority w:val="99"/>
    <w:unhideWhenUsed/>
    <w:rsid w:val="00E2695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CA7A0-9D8D-9C42-B99B-8935F4DB6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688</TotalTime>
  <Pages>23</Pages>
  <Words>5504</Words>
  <Characters>31375</Characters>
  <Application>Microsoft Office Word</Application>
  <DocSecurity>0</DocSecurity>
  <Lines>261</Lines>
  <Paragraphs>73</Paragraphs>
  <ScaleCrop>false</ScaleCrop>
  <Company/>
  <LinksUpToDate>false</LinksUpToDate>
  <CharactersWithSpaces>36806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Calvin, Lauren</dc:creator>
  <cp:keywords/>
  <dc:description/>
  <cp:lastModifiedBy>Calvin, Lauren</cp:lastModifiedBy>
  <cp:revision>95</cp:revision>
  <dcterms:created xsi:type="dcterms:W3CDTF">2024-09-04T14:11:00Z</dcterms:created>
  <dcterms:modified xsi:type="dcterms:W3CDTF">2024-09-16T02:54:00Z</dcterms:modified>
</cp:coreProperties>
</file>