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7CE9" w14:textId="6190324F" w:rsidR="0084048F" w:rsidRDefault="006E167D" w:rsidP="006E167D">
      <w:pPr>
        <w:pStyle w:val="TitlePage-Title"/>
      </w:pPr>
      <w:r>
        <w:t>Barrier</w:t>
      </w:r>
      <w:r w:rsidR="00B54AE2">
        <w:t>s</w:t>
      </w:r>
      <w:r>
        <w:t xml:space="preserve"> and Benefits for Learning Disabled Students in Digital Learning Environments</w:t>
      </w:r>
    </w:p>
    <w:p w14:paraId="01E3D38F" w14:textId="2416EB6A" w:rsidR="0084048F" w:rsidRDefault="00CF3D72" w:rsidP="0084048F">
      <w:pPr>
        <w:pStyle w:val="TitlePage-Bottom"/>
      </w:pPr>
      <w:r>
        <w:t>R. Bryan Barrineau</w:t>
      </w:r>
    </w:p>
    <w:p w14:paraId="2469BFC1" w14:textId="1EF18382" w:rsidR="0084048F" w:rsidRDefault="00CF3D72" w:rsidP="0084048F">
      <w:pPr>
        <w:pStyle w:val="TitlePage-Bottom"/>
      </w:pPr>
      <w:r>
        <w:t>June</w:t>
      </w:r>
      <w:r w:rsidR="0084048F">
        <w:t xml:space="preserve"> 3, 2021</w:t>
      </w:r>
    </w:p>
    <w:p w14:paraId="7139743D" w14:textId="77777777" w:rsidR="0084048F" w:rsidRDefault="0084048F" w:rsidP="006C5314">
      <w:pPr>
        <w:spacing w:before="480" w:after="240" w:line="480" w:lineRule="auto"/>
        <w:jc w:val="center"/>
        <w:rPr>
          <w:b/>
          <w:bCs/>
          <w:u w:val="single"/>
        </w:rPr>
      </w:pPr>
    </w:p>
    <w:p w14:paraId="15020EC8" w14:textId="77777777" w:rsidR="0084048F" w:rsidRDefault="0084048F">
      <w:pPr>
        <w:rPr>
          <w:b/>
          <w:bCs/>
          <w:u w:val="single"/>
        </w:rPr>
      </w:pPr>
      <w:r>
        <w:rPr>
          <w:b/>
          <w:bCs/>
          <w:u w:val="single"/>
        </w:rPr>
        <w:br w:type="page"/>
      </w:r>
    </w:p>
    <w:p w14:paraId="444B3947" w14:textId="3AED6D2F" w:rsidR="00A84F85" w:rsidRPr="00A05342" w:rsidRDefault="009D4FEC" w:rsidP="006E167D">
      <w:pPr>
        <w:spacing w:before="480" w:after="120"/>
        <w:jc w:val="center"/>
      </w:pPr>
      <w:r w:rsidRPr="00A05342">
        <w:rPr>
          <w:b/>
          <w:bCs/>
          <w:u w:val="single"/>
        </w:rPr>
        <w:lastRenderedPageBreak/>
        <w:t xml:space="preserve"> </w:t>
      </w:r>
      <w:r w:rsidR="006E167D" w:rsidRPr="006E167D">
        <w:rPr>
          <w:b/>
          <w:bCs/>
          <w:u w:val="single"/>
        </w:rPr>
        <w:t>Barrier and Benefits for Learning Disabled Students in Digital Learning Environments</w:t>
      </w:r>
    </w:p>
    <w:p w14:paraId="60389C9A" w14:textId="5AC42DBB" w:rsidR="00B036D5" w:rsidRPr="00A05342" w:rsidRDefault="009D4FEC" w:rsidP="00B036D5">
      <w:pPr>
        <w:spacing w:before="360" w:line="480" w:lineRule="auto"/>
        <w:ind w:firstLine="720"/>
      </w:pPr>
      <w:r w:rsidRPr="00A05342">
        <w:t xml:space="preserve">The world that educators and students live in today is inescapably informed by and engaged with technology. </w:t>
      </w:r>
      <w:r w:rsidR="006E167D">
        <w:t xml:space="preserve">Technology </w:t>
      </w:r>
      <w:r w:rsidRPr="00A05342">
        <w:t xml:space="preserve">has forever </w:t>
      </w:r>
      <w:r w:rsidR="006E167D" w:rsidRPr="00A05342">
        <w:t xml:space="preserve">changed </w:t>
      </w:r>
      <w:r w:rsidR="006E167D">
        <w:t>education</w:t>
      </w:r>
      <w:r w:rsidRPr="00A05342">
        <w:t>; neuroscience research-informed pedagogy through the fMRI, the internet both aiding and abetting educational efforts at a distance, and even the Apple IIe in every classroom of the early 1980s.</w:t>
      </w:r>
      <w:r w:rsidR="00B036D5">
        <w:rPr>
          <w:rStyle w:val="EndnoteReference"/>
        </w:rPr>
        <w:endnoteReference w:id="1"/>
      </w:r>
      <w:r w:rsidR="000B502B">
        <w:t>[1]</w:t>
      </w:r>
      <w:r w:rsidR="00B036D5">
        <w:t xml:space="preserve"> </w:t>
      </w:r>
      <w:r w:rsidR="00B036D5" w:rsidRPr="00A05342">
        <w:t>The advent of the internet was one of the most significant educational innovations since the invention of the printing press.</w:t>
      </w:r>
      <w:r w:rsidR="00B036D5" w:rsidRPr="00A05342">
        <w:rPr>
          <w:rStyle w:val="EndnoteReference"/>
        </w:rPr>
        <w:endnoteReference w:id="2"/>
      </w:r>
      <w:r w:rsidR="000B502B">
        <w:t>[2]</w:t>
      </w:r>
      <w:r w:rsidR="00B036D5" w:rsidRPr="00A05342">
        <w:t xml:space="preserve"> The internet, used for education in various ways, is collectively categorized as digital learning environments (DLEs).</w:t>
      </w:r>
      <w:r w:rsidR="00B036D5" w:rsidRPr="00A05342">
        <w:rPr>
          <w:rStyle w:val="EndnoteReference"/>
        </w:rPr>
        <w:endnoteReference w:id="3"/>
      </w:r>
      <w:r w:rsidR="000B502B">
        <w:t>[3]</w:t>
      </w:r>
      <w:r w:rsidR="00B036D5" w:rsidRPr="00A05342">
        <w:t xml:space="preserve"> The advent of DLEs, especially in light of the global Covid pandemic, has opened up many pathways for learning content to be delivered to students.</w:t>
      </w:r>
      <w:r w:rsidR="00B036D5" w:rsidRPr="00A05342">
        <w:rPr>
          <w:rStyle w:val="EndnoteReference"/>
        </w:rPr>
        <w:endnoteReference w:id="4"/>
      </w:r>
      <w:r w:rsidR="000B502B">
        <w:t>[4]</w:t>
      </w:r>
      <w:r w:rsidR="00B036D5" w:rsidRPr="00A05342">
        <w:t xml:space="preserve"> The digital learning environments were a boon to teachers and students separated because of shutdowns and quarantines. These DLEs allowed teachers to deliver learning content and students to digest this content. Despite the benefit of these new channels for educating students, students struggle in a typical classroom and saw this struggle transferred online</w:t>
      </w:r>
      <w:r w:rsidR="00B036D5">
        <w:t>;</w:t>
      </w:r>
      <w:r w:rsidR="00B036D5" w:rsidRPr="00A05342">
        <w:t xml:space="preserve"> those diagnosed with learning disabilities. These learning delivery methods come fraught with possible issues for traditional students, but the relationship is far more complex and varied for learning disabled students. This complex relationship of digital learning for students with learning disabilities is informed through what neuroscience has taught us about how students learn, which is different for those with learning disabilities. Higher education students with learning disabilities that engage in digital learning environments see this varied and complex relationship exemplified in both b</w:t>
      </w:r>
      <w:r w:rsidR="00B036D5">
        <w:t>arriers</w:t>
      </w:r>
      <w:r w:rsidR="00B036D5" w:rsidRPr="00A05342">
        <w:t xml:space="preserve"> and b</w:t>
      </w:r>
      <w:r w:rsidR="00B036D5">
        <w:t>enefits</w:t>
      </w:r>
      <w:r w:rsidR="00B036D5" w:rsidRPr="00A05342">
        <w:t xml:space="preserve"> to effective learning.</w:t>
      </w:r>
      <w:r w:rsidR="00B036D5" w:rsidRPr="00A05342">
        <w:rPr>
          <w:rStyle w:val="EndnoteReference"/>
        </w:rPr>
        <w:endnoteReference w:id="5"/>
      </w:r>
      <w:r w:rsidR="000B502B">
        <w:t>[5]</w:t>
      </w:r>
      <w:r w:rsidR="00B036D5" w:rsidRPr="00A05342">
        <w:t xml:space="preserve"> </w:t>
      </w:r>
    </w:p>
    <w:p w14:paraId="71545E01" w14:textId="76DCA71E" w:rsidR="00706789" w:rsidRDefault="00706789" w:rsidP="00B036D5">
      <w:pPr>
        <w:spacing w:before="100" w:beforeAutospacing="1" w:line="480" w:lineRule="auto"/>
        <w:ind w:firstLine="720"/>
        <w:sectPr w:rsidR="00706789" w:rsidSect="006E167D">
          <w:headerReference w:type="even" r:id="rId8"/>
          <w:headerReference w:type="default" r:id="rId9"/>
          <w:endnotePr>
            <w:numFmt w:val="decimal"/>
          </w:endnotePr>
          <w:pgSz w:w="12240" w:h="15840"/>
          <w:pgMar w:top="1440" w:right="1440" w:bottom="1440" w:left="2160" w:header="720" w:footer="720" w:gutter="0"/>
          <w:cols w:space="720"/>
          <w:titlePg/>
          <w:docGrid w:linePitch="360"/>
        </w:sectPr>
      </w:pPr>
    </w:p>
    <w:p w14:paraId="6A080A33" w14:textId="3CB9E43F" w:rsidR="00706789" w:rsidRPr="00A05342" w:rsidRDefault="00706789" w:rsidP="00667EC1">
      <w:pPr>
        <w:spacing w:line="480" w:lineRule="auto"/>
        <w:ind w:firstLine="720"/>
      </w:pPr>
      <w:r w:rsidRPr="00A05342">
        <w:lastRenderedPageBreak/>
        <w:t xml:space="preserve">The invention of the internet was not the only technology to shape education in the </w:t>
      </w:r>
      <w:r>
        <w:t>twentieth</w:t>
      </w:r>
      <w:r w:rsidRPr="00A05342">
        <w:t xml:space="preserve"> and </w:t>
      </w:r>
      <w:r>
        <w:t>twenty-first</w:t>
      </w:r>
      <w:r w:rsidRPr="00A05342">
        <w:t xml:space="preserve"> centuries. The furthering of neuroscience research and </w:t>
      </w:r>
      <w:r>
        <w:t xml:space="preserve">its </w:t>
      </w:r>
      <w:r w:rsidRPr="00A05342">
        <w:t>appl</w:t>
      </w:r>
      <w:r>
        <w:t>ication</w:t>
      </w:r>
      <w:r w:rsidRPr="00A05342">
        <w:t xml:space="preserve"> to educational theory</w:t>
      </w:r>
      <w:r>
        <w:t xml:space="preserve"> and pedagogy has far reaching implications</w:t>
      </w:r>
      <w:r w:rsidRPr="00A05342">
        <w:t>.</w:t>
      </w:r>
      <w:r w:rsidRPr="00A05342">
        <w:rPr>
          <w:rStyle w:val="EndnoteReference"/>
        </w:rPr>
        <w:endnoteReference w:id="6"/>
      </w:r>
      <w:r w:rsidR="000B502B">
        <w:t>[6]</w:t>
      </w:r>
      <w:r w:rsidRPr="00A05342">
        <w:t xml:space="preserve"> The research conducted on the brain and how people process stimuli during learning has foundationally changed how educators understand learning.</w:t>
      </w:r>
      <w:r w:rsidRPr="00A05342">
        <w:rPr>
          <w:rStyle w:val="EndnoteReference"/>
        </w:rPr>
        <w:endnoteReference w:id="7"/>
      </w:r>
      <w:r w:rsidR="000B502B">
        <w:t>[7]</w:t>
      </w:r>
      <w:r w:rsidRPr="00A05342">
        <w:t xml:space="preserve"> However, this research is not complete. Researchers continue to discover more about how the brain processes and stores stimuli and how this process affects learning.</w:t>
      </w:r>
      <w:r w:rsidRPr="00A05342">
        <w:rPr>
          <w:rStyle w:val="EndnoteReference"/>
        </w:rPr>
        <w:endnoteReference w:id="8"/>
      </w:r>
      <w:r w:rsidR="000B502B">
        <w:t>[8]</w:t>
      </w:r>
      <w:r w:rsidRPr="00A05342">
        <w:t xml:space="preserve"> </w:t>
      </w:r>
      <w:r>
        <w:t>R</w:t>
      </w:r>
      <w:r w:rsidRPr="00A05342">
        <w:t xml:space="preserve">esearch into neuroscience and learning has intensified </w:t>
      </w:r>
      <w:r>
        <w:t>with</w:t>
      </w:r>
      <w:r w:rsidRPr="00A05342">
        <w:t xml:space="preserve"> digital </w:t>
      </w:r>
      <w:r>
        <w:t xml:space="preserve">learning </w:t>
      </w:r>
      <w:r w:rsidRPr="00A05342">
        <w:t xml:space="preserve">environments </w:t>
      </w:r>
      <w:r>
        <w:t>growing</w:t>
      </w:r>
      <w:r w:rsidRPr="00A05342">
        <w:t xml:space="preserve"> as a viable way of delivering content and fostering student </w:t>
      </w:r>
      <w:r>
        <w:t>development</w:t>
      </w:r>
      <w:r w:rsidRPr="00A05342">
        <w:t xml:space="preserve">. </w:t>
      </w:r>
    </w:p>
    <w:p w14:paraId="1AE4ED37" w14:textId="5DAE7A41" w:rsidR="00706789" w:rsidRPr="00A05342" w:rsidRDefault="00706789" w:rsidP="0002453B">
      <w:pPr>
        <w:spacing w:line="480" w:lineRule="auto"/>
        <w:ind w:firstLine="720"/>
      </w:pPr>
      <w:r w:rsidRPr="00A05342">
        <w:t xml:space="preserve">The integration of neuroeducation research and technology has significantly changed educational theory's trajectory in the </w:t>
      </w:r>
      <w:r>
        <w:t>twentieth</w:t>
      </w:r>
      <w:r w:rsidRPr="00A05342">
        <w:t xml:space="preserve"> and </w:t>
      </w:r>
      <w:r>
        <w:t xml:space="preserve">twenty-first </w:t>
      </w:r>
      <w:r w:rsidRPr="00A05342">
        <w:t>centuries. Neuroscience research into neurodiversity in students has discovered that some students’ cognition is altered.</w:t>
      </w:r>
      <w:r>
        <w:rPr>
          <w:rStyle w:val="EndnoteReference"/>
        </w:rPr>
        <w:endnoteReference w:id="9"/>
      </w:r>
      <w:r w:rsidR="000B502B">
        <w:t>[9]</w:t>
      </w:r>
      <w:r w:rsidRPr="00A05342">
        <w:t xml:space="preserve"> These students</w:t>
      </w:r>
      <w:r>
        <w:t xml:space="preserve"> are diagnosed</w:t>
      </w:r>
      <w:r w:rsidRPr="00A05342">
        <w:t xml:space="preserve"> as having learning disabilities (L.D.s). L.D.s are defined by the Learning Disabilities Association of American a</w:t>
      </w:r>
      <w:r>
        <w:t>re</w:t>
      </w:r>
      <w:r w:rsidRPr="00A05342">
        <w:t xml:space="preserve">, </w:t>
      </w:r>
    </w:p>
    <w:p w14:paraId="059323E9" w14:textId="3371A956" w:rsidR="00706789" w:rsidRPr="00A05342" w:rsidRDefault="00706789" w:rsidP="0002453B">
      <w:pPr>
        <w:ind w:left="720"/>
      </w:pPr>
      <w:r w:rsidRPr="00A05342">
        <w:t>Learning disabilities are due to genetic and neurobiological factors that alter brain functioning that affects one or more cognitive processes related to learning. These processing problems can interfere with learning essential reading, writing, and math skills.  They can also interfere with higher-level skills such as organization, time planning, abstract reasoning, long or short-term memory, and attention.</w:t>
      </w:r>
      <w:r w:rsidRPr="00A05342">
        <w:rPr>
          <w:rStyle w:val="EndnoteReference"/>
        </w:rPr>
        <w:endnoteReference w:id="10"/>
      </w:r>
      <w:r w:rsidR="000B502B">
        <w:t>[10]</w:t>
      </w:r>
    </w:p>
    <w:p w14:paraId="529F11A7" w14:textId="77777777" w:rsidR="00706789" w:rsidRPr="00A05342" w:rsidRDefault="00706789" w:rsidP="0002453B">
      <w:pPr>
        <w:ind w:left="720"/>
      </w:pPr>
    </w:p>
    <w:p w14:paraId="09337371" w14:textId="3E9483CC" w:rsidR="00706789" w:rsidRPr="00A05342" w:rsidRDefault="00706789" w:rsidP="00667EC1">
      <w:pPr>
        <w:spacing w:line="480" w:lineRule="auto"/>
      </w:pPr>
      <w:r w:rsidRPr="00A05342">
        <w:t xml:space="preserve">Students with </w:t>
      </w:r>
      <w:r w:rsidR="00B036D5">
        <w:t>learning disabilitie</w:t>
      </w:r>
      <w:r w:rsidRPr="00A05342">
        <w:t xml:space="preserve">s can struggle in a typical classroom </w:t>
      </w:r>
      <w:r>
        <w:t>due to</w:t>
      </w:r>
      <w:r w:rsidRPr="00A05342">
        <w:t xml:space="preserve"> a lack of educational strategies </w:t>
      </w:r>
      <w:r>
        <w:t>meeting</w:t>
      </w:r>
      <w:r w:rsidRPr="00A05342">
        <w:t xml:space="preserve"> the needs of a neurodiverse cohort of students.</w:t>
      </w:r>
      <w:r w:rsidRPr="00A05342">
        <w:rPr>
          <w:rStyle w:val="EndnoteReference"/>
        </w:rPr>
        <w:endnoteReference w:id="11"/>
      </w:r>
      <w:r w:rsidR="000B502B">
        <w:t>[11]</w:t>
      </w:r>
      <w:r w:rsidRPr="00A05342">
        <w:t xml:space="preserve"> This disability can manifest as a deficiency in core subjects or deficiencies in life skills needed to function in everyday life.</w:t>
      </w:r>
      <w:r w:rsidRPr="00A05342">
        <w:rPr>
          <w:rStyle w:val="EndnoteReference"/>
        </w:rPr>
        <w:endnoteReference w:id="12"/>
      </w:r>
      <w:r w:rsidR="000B502B">
        <w:t>[12]</w:t>
      </w:r>
      <w:r w:rsidRPr="00A05342">
        <w:t xml:space="preserve"> However, students with learning disabilities are not a cohesive group for research and practice.</w:t>
      </w:r>
      <w:r w:rsidRPr="00A05342">
        <w:rPr>
          <w:rStyle w:val="EndnoteReference"/>
        </w:rPr>
        <w:endnoteReference w:id="13"/>
      </w:r>
      <w:r w:rsidR="000B502B">
        <w:t>[13]</w:t>
      </w:r>
      <w:r w:rsidRPr="00A05342">
        <w:t xml:space="preserve"> Many of these students need accommodations in order for them to learn on an equal footing with students </w:t>
      </w:r>
      <w:r>
        <w:t xml:space="preserve">in the same </w:t>
      </w:r>
      <w:r w:rsidRPr="00A05342">
        <w:lastRenderedPageBreak/>
        <w:t xml:space="preserve">classroom </w:t>
      </w:r>
      <w:r>
        <w:t xml:space="preserve">who </w:t>
      </w:r>
      <w:r w:rsidRPr="00A05342">
        <w:t>do not have learning disabilities. In 1975, the passage of what is now known as the Individuals with Disabilities Education Act (IDEA) meant every student diagnosed with a disability would have the opportunity for "a free, appropriate, public education (FAPE) in the least restrictive environment.”</w:t>
      </w:r>
      <w:r w:rsidRPr="00A05342">
        <w:rPr>
          <w:rStyle w:val="EndnoteReference"/>
        </w:rPr>
        <w:endnoteReference w:id="14"/>
      </w:r>
      <w:r w:rsidR="000B502B">
        <w:t>[14]</w:t>
      </w:r>
      <w:r w:rsidRPr="00A05342">
        <w:t xml:space="preserve"> These students were guaranteed an education on par with students who did not suffer from learning disabilities. </w:t>
      </w:r>
    </w:p>
    <w:p w14:paraId="09356E14" w14:textId="138DA527" w:rsidR="00706789" w:rsidRPr="006E167D" w:rsidRDefault="00706789" w:rsidP="002F57C0">
      <w:pPr>
        <w:spacing w:before="240" w:line="480" w:lineRule="auto"/>
        <w:jc w:val="center"/>
        <w:rPr>
          <w:b/>
          <w:bCs/>
        </w:rPr>
      </w:pPr>
      <w:r w:rsidRPr="006E167D">
        <w:rPr>
          <w:b/>
          <w:bCs/>
        </w:rPr>
        <w:t>Research Question and Thesis</w:t>
      </w:r>
    </w:p>
    <w:p w14:paraId="5C90EEBA" w14:textId="1DEFD691" w:rsidR="00706789" w:rsidRPr="00A05342" w:rsidRDefault="00706789" w:rsidP="006E167D">
      <w:pPr>
        <w:spacing w:line="480" w:lineRule="auto"/>
        <w:ind w:firstLine="720"/>
      </w:pPr>
      <w:r>
        <w:t>T</w:t>
      </w:r>
      <w:r w:rsidRPr="00A05342">
        <w:t xml:space="preserve">he three </w:t>
      </w:r>
      <w:r>
        <w:t xml:space="preserve">aforementioned </w:t>
      </w:r>
      <w:r w:rsidRPr="00A05342">
        <w:t>areas of educational innovatio</w:t>
      </w:r>
      <w:r>
        <w:t>n</w:t>
      </w:r>
      <w:r w:rsidRPr="00A05342">
        <w:t xml:space="preserve"> over the last forty years interact with and aid students with disabilities to attain an equal opportunity </w:t>
      </w:r>
      <w:r>
        <w:t xml:space="preserve">for </w:t>
      </w:r>
      <w:r w:rsidRPr="00A05342">
        <w:t>education.</w:t>
      </w:r>
      <w:r w:rsidRPr="00A05342">
        <w:rPr>
          <w:rStyle w:val="EndnoteReference"/>
        </w:rPr>
        <w:endnoteReference w:id="15"/>
      </w:r>
      <w:r w:rsidR="000B502B">
        <w:t>[15]</w:t>
      </w:r>
      <w:r w:rsidRPr="00A05342">
        <w:t xml:space="preserve"> The fact remains that there would have been no need for passage of the IDEA in 1975 if L.D. students already attained an equal education as non-disabled students. </w:t>
      </w:r>
      <w:r>
        <w:t>In the intervening decades, t</w:t>
      </w:r>
      <w:r w:rsidRPr="00A05342">
        <w:t>he importance of neuroscience-informed education and legislation to level the educational playing field for students with learning disabilities has grown.</w:t>
      </w:r>
      <w:r>
        <w:rPr>
          <w:rStyle w:val="EndnoteReference"/>
        </w:rPr>
        <w:endnoteReference w:id="16"/>
      </w:r>
      <w:r w:rsidR="000B502B">
        <w:t>[16]</w:t>
      </w:r>
      <w:r w:rsidRPr="00A05342">
        <w:t xml:space="preserve"> The IDEA has guaranteed, through legislative action, that students with disabilities have open and equal access to education. Neuroscience research has helped us to understand better how the brains of students with learning disabilities process and store information. The internet has helped students find new educational avenues for learning that accommodate their learning disabilities.</w:t>
      </w:r>
      <w:r w:rsidRPr="00A05342">
        <w:rPr>
          <w:rStyle w:val="EndnoteReference"/>
        </w:rPr>
        <w:endnoteReference w:id="17"/>
      </w:r>
      <w:r w:rsidR="000B502B">
        <w:t>[17]</w:t>
      </w:r>
      <w:r w:rsidRPr="00A05342">
        <w:t xml:space="preserve"> The advent of digital learning environments informed by neuroscience research ha</w:t>
      </w:r>
      <w:r>
        <w:t>ve highlighted barriers and benefits to effective learning for those students with learning disabilities.</w:t>
      </w:r>
    </w:p>
    <w:p w14:paraId="0E6642D7" w14:textId="52087BAE" w:rsidR="00706789" w:rsidRPr="00A05342" w:rsidRDefault="00706789" w:rsidP="007C4434">
      <w:pPr>
        <w:spacing w:before="120" w:line="480" w:lineRule="auto"/>
        <w:jc w:val="center"/>
        <w:rPr>
          <w:b/>
          <w:bCs/>
        </w:rPr>
      </w:pPr>
      <w:r w:rsidRPr="00A05342">
        <w:rPr>
          <w:b/>
          <w:bCs/>
        </w:rPr>
        <w:t>Toward A Theology of Educati</w:t>
      </w:r>
      <w:r>
        <w:rPr>
          <w:b/>
          <w:bCs/>
        </w:rPr>
        <w:t>ng</w:t>
      </w:r>
      <w:r w:rsidRPr="00A05342">
        <w:rPr>
          <w:b/>
          <w:bCs/>
        </w:rPr>
        <w:t xml:space="preserve"> </w:t>
      </w:r>
      <w:r>
        <w:rPr>
          <w:b/>
          <w:bCs/>
        </w:rPr>
        <w:t>Those with</w:t>
      </w:r>
      <w:r w:rsidRPr="00A05342">
        <w:rPr>
          <w:b/>
          <w:bCs/>
        </w:rPr>
        <w:t xml:space="preserve"> Learning Disabilities</w:t>
      </w:r>
    </w:p>
    <w:p w14:paraId="1358127E" w14:textId="62A5CA45" w:rsidR="00706789" w:rsidRPr="00A05342" w:rsidRDefault="00706789" w:rsidP="00667EC1">
      <w:pPr>
        <w:spacing w:line="480" w:lineRule="auto"/>
      </w:pPr>
      <w:r w:rsidRPr="00A05342">
        <w:tab/>
        <w:t>Christian education aims to teach God’s truth locked away in the heart and mind and</w:t>
      </w:r>
      <w:r>
        <w:t xml:space="preserve"> for that learning applicable to everyday life</w:t>
      </w:r>
      <w:r w:rsidRPr="00A05342">
        <w:t>.</w:t>
      </w:r>
      <w:r>
        <w:t xml:space="preserve"> God’s truth </w:t>
      </w:r>
      <w:r w:rsidRPr="00A05342">
        <w:t xml:space="preserve">is truth that sees life change </w:t>
      </w:r>
      <w:r w:rsidRPr="00A05342">
        <w:lastRenderedPageBreak/>
        <w:t>through proper belief (orthodoxy), concrete practice (orthopraxy), and right feelings (orthopatheia).</w:t>
      </w:r>
      <w:r w:rsidRPr="00A05342">
        <w:rPr>
          <w:rStyle w:val="EndnoteReference"/>
        </w:rPr>
        <w:endnoteReference w:id="18"/>
      </w:r>
      <w:r w:rsidR="000B502B">
        <w:t>[18]</w:t>
      </w:r>
      <w:r w:rsidRPr="00A05342">
        <w:t xml:space="preserve"> However, a Christian educator must consider what happens when a disability prevents </w:t>
      </w:r>
      <w:r>
        <w:t>students</w:t>
      </w:r>
      <w:r w:rsidRPr="00A05342">
        <w:t xml:space="preserve"> from engaging in orthodoxy, orthopraxy, or orthopatheia because of a disability. This inability on the students' part is not necessarily because they do not desire to draw close to God, but because of the unique way God has wired the neurons in their brain to fire and retain learning.</w:t>
      </w:r>
      <w:r w:rsidRPr="00A05342">
        <w:rPr>
          <w:rStyle w:val="EndnoteReference"/>
        </w:rPr>
        <w:endnoteReference w:id="19"/>
      </w:r>
      <w:r w:rsidR="000B502B">
        <w:t>[19]</w:t>
      </w:r>
      <w:r w:rsidRPr="00A05342">
        <w:t xml:space="preserve"> Suppose Christian educators believe that humanity is created in the </w:t>
      </w:r>
      <w:r>
        <w:rPr>
          <w:i/>
          <w:iCs/>
        </w:rPr>
        <w:t>i</w:t>
      </w:r>
      <w:r w:rsidRPr="00A05342">
        <w:rPr>
          <w:i/>
          <w:iCs/>
        </w:rPr>
        <w:t>mago Dei</w:t>
      </w:r>
      <w:r w:rsidRPr="00A05342">
        <w:t xml:space="preserve">. How do the Bible and theology inform pedagogy to understand and educate students that have learning disabilities? </w:t>
      </w:r>
      <w:r>
        <w:t>If this question is answered honestly, institutions of Christian higher education have a biblical, moral, and legal obligation to educate and minister to those with disabilities, even in digital learning environments.</w:t>
      </w:r>
      <w:r>
        <w:rPr>
          <w:rStyle w:val="EndnoteReference"/>
        </w:rPr>
        <w:endnoteReference w:id="20"/>
      </w:r>
      <w:r w:rsidR="000B502B">
        <w:t>[20]</w:t>
      </w:r>
    </w:p>
    <w:p w14:paraId="2BD1AD29" w14:textId="0846C82E" w:rsidR="00706789" w:rsidRPr="00A05342" w:rsidRDefault="00706789" w:rsidP="004D0B2B">
      <w:pPr>
        <w:spacing w:line="480" w:lineRule="auto"/>
        <w:ind w:firstLine="720"/>
      </w:pPr>
      <w:r w:rsidRPr="00A05342">
        <w:t>The Bible does not explicitly mention educating students with learning disabilities. However, the themes of caring for the lowly are interspersed through the whole counsel of God's Word. Jesus tells us that whatever is done for the least of these is done for Him.</w:t>
      </w:r>
      <w:r w:rsidRPr="00A05342">
        <w:rPr>
          <w:rStyle w:val="EndnoteReference"/>
        </w:rPr>
        <w:endnoteReference w:id="21"/>
      </w:r>
      <w:r w:rsidR="000B502B">
        <w:t>[21]</w:t>
      </w:r>
      <w:r w:rsidRPr="00A05342">
        <w:t xml:space="preserve"> This verse does not explicitly mention learning disabilities. However, students who struggle with routine tasks because of a disability could very quickly be considered the "least of these" that Jesus mentions. This verse magnifies the investigation in light of Psalm 139:13-14. God has remarkably and wonderfully created people with learning disabilities. These verses tell us God was the author of each person’s specific creation, and he saw their purpose before birth. This view of creation leads teachers to acknowledge that every student is a precious creation of God, despite </w:t>
      </w:r>
      <w:r>
        <w:t>any</w:t>
      </w:r>
      <w:r w:rsidRPr="00A05342">
        <w:t xml:space="preserve"> learning disabilities. God gave educators a specific calling to help shepherd and care for students who have learning disabilities.</w:t>
      </w:r>
      <w:r w:rsidRPr="00A05342">
        <w:rPr>
          <w:rStyle w:val="EndnoteReference"/>
        </w:rPr>
        <w:endnoteReference w:id="22"/>
      </w:r>
      <w:r w:rsidR="000B502B">
        <w:t>[22]</w:t>
      </w:r>
      <w:r w:rsidRPr="00A05342">
        <w:t xml:space="preserve"> This calling to educate others for the glory </w:t>
      </w:r>
      <w:r w:rsidRPr="00A05342">
        <w:lastRenderedPageBreak/>
        <w:t>of God, an example of which can be found in Deuteronomy 6, does not discriminate when it comes to disabilities.</w:t>
      </w:r>
      <w:r w:rsidRPr="00A05342">
        <w:rPr>
          <w:rStyle w:val="EndnoteReference"/>
        </w:rPr>
        <w:endnoteReference w:id="23"/>
      </w:r>
      <w:r w:rsidR="000B502B">
        <w:t>[23]</w:t>
      </w:r>
      <w:r w:rsidRPr="00A05342">
        <w:t xml:space="preserve"> God created humanity and called teachers to educate, which leads to the assumption that despite disability, all people can learn.</w:t>
      </w:r>
    </w:p>
    <w:p w14:paraId="5EEB7FCE" w14:textId="446B4B69" w:rsidR="00706789" w:rsidRPr="00A05342" w:rsidRDefault="00706789" w:rsidP="00667EC1">
      <w:pPr>
        <w:spacing w:line="480" w:lineRule="auto"/>
      </w:pPr>
      <w:r w:rsidRPr="00A05342">
        <w:tab/>
        <w:t>The theology of educating the “least of these” mentioned above has led to creating a branch of theological study called disability theology.</w:t>
      </w:r>
      <w:r w:rsidRPr="00A05342">
        <w:rPr>
          <w:rStyle w:val="EndnoteReference"/>
        </w:rPr>
        <w:endnoteReference w:id="24"/>
      </w:r>
      <w:r w:rsidR="000B502B">
        <w:t>[24]</w:t>
      </w:r>
      <w:r w:rsidRPr="00A05342">
        <w:t xml:space="preserve"> This branch of theology </w:t>
      </w:r>
      <w:r>
        <w:t xml:space="preserve">is based </w:t>
      </w:r>
      <w:r w:rsidRPr="00A05342">
        <w:t xml:space="preserve">in the </w:t>
      </w:r>
      <w:r>
        <w:rPr>
          <w:i/>
          <w:iCs/>
        </w:rPr>
        <w:t>i</w:t>
      </w:r>
      <w:r w:rsidRPr="00A05342">
        <w:rPr>
          <w:i/>
          <w:iCs/>
        </w:rPr>
        <w:t>mago Dei</w:t>
      </w:r>
      <w:r w:rsidRPr="00A05342">
        <w:t>.</w:t>
      </w:r>
      <w:r>
        <w:rPr>
          <w:rStyle w:val="EndnoteReference"/>
        </w:rPr>
        <w:endnoteReference w:id="25"/>
      </w:r>
      <w:r w:rsidR="000B502B">
        <w:t>[25]</w:t>
      </w:r>
      <w:r w:rsidRPr="00A05342">
        <w:t xml:space="preserve"> The study of theology and disability is not new, evidenced by the disciples asking about sin and disability in John 9.</w:t>
      </w:r>
      <w:r w:rsidRPr="00A05342">
        <w:rPr>
          <w:rStyle w:val="EndnoteReference"/>
        </w:rPr>
        <w:endnoteReference w:id="26"/>
      </w:r>
      <w:r w:rsidR="000B502B">
        <w:t>[26]</w:t>
      </w:r>
      <w:r w:rsidRPr="00A05342">
        <w:t xml:space="preserve"> Disability theology is also present in the writings of early church theologian Augustine and the </w:t>
      </w:r>
      <w:r>
        <w:t xml:space="preserve">eighteenth </w:t>
      </w:r>
      <w:r w:rsidRPr="00A05342">
        <w:t>century writing of John Calvin.</w:t>
      </w:r>
      <w:r w:rsidRPr="00A05342">
        <w:rPr>
          <w:rStyle w:val="EndnoteReference"/>
        </w:rPr>
        <w:endnoteReference w:id="27"/>
      </w:r>
      <w:r w:rsidR="000B502B">
        <w:t>[27]</w:t>
      </w:r>
      <w:r w:rsidRPr="00A05342">
        <w:t xml:space="preserve"> The writings of those who have discussed disability theology center on considering the </w:t>
      </w:r>
      <w:r>
        <w:rPr>
          <w:i/>
          <w:iCs/>
        </w:rPr>
        <w:t>i</w:t>
      </w:r>
      <w:r w:rsidRPr="00A05342">
        <w:rPr>
          <w:i/>
          <w:iCs/>
        </w:rPr>
        <w:t>mago Dei</w:t>
      </w:r>
      <w:r w:rsidRPr="00A05342">
        <w:t xml:space="preserve"> and disability are not mutually exclusive.</w:t>
      </w:r>
      <w:r w:rsidRPr="00A05342">
        <w:rPr>
          <w:rStyle w:val="EndnoteReference"/>
        </w:rPr>
        <w:endnoteReference w:id="28"/>
      </w:r>
      <w:r w:rsidR="000B502B">
        <w:t>[28]</w:t>
      </w:r>
      <w:r w:rsidRPr="00A05342">
        <w:t xml:space="preserve"> Deborah Creamer posits that when considering disability and the </w:t>
      </w:r>
      <w:r>
        <w:rPr>
          <w:i/>
          <w:iCs/>
        </w:rPr>
        <w:t>Imago</w:t>
      </w:r>
      <w:r w:rsidRPr="00A05342">
        <w:rPr>
          <w:i/>
          <w:iCs/>
        </w:rPr>
        <w:t xml:space="preserve"> Dei</w:t>
      </w:r>
      <w:r w:rsidRPr="00A05342">
        <w:t xml:space="preserve">, one should use a limit model. Creamer states, </w:t>
      </w:r>
    </w:p>
    <w:p w14:paraId="4239FDAC" w14:textId="044A83C1" w:rsidR="00706789" w:rsidRPr="00A05342" w:rsidRDefault="00706789" w:rsidP="006D68CD">
      <w:pPr>
        <w:ind w:left="720"/>
        <w:rPr>
          <w:color w:val="000000" w:themeColor="text1"/>
          <w:shd w:val="clear" w:color="auto" w:fill="FFFFFF"/>
        </w:rPr>
      </w:pPr>
      <w:r w:rsidRPr="00A05342">
        <w:rPr>
          <w:color w:val="000000" w:themeColor="text1"/>
          <w:shd w:val="clear" w:color="auto" w:fill="FFFFFF"/>
        </w:rPr>
        <w:t>Approaching our understanding of humanity from the starting point of disability gives us a more applicable (or "normal," in terms of what is seen across the scope of the human population) vision of human limits. Limits may then be compared and considered, but they are not seen as abhorrent or abnormal.</w:t>
      </w:r>
      <w:r w:rsidRPr="00A05342">
        <w:rPr>
          <w:rStyle w:val="EndnoteReference"/>
        </w:rPr>
        <w:endnoteReference w:id="29"/>
      </w:r>
      <w:r w:rsidR="000B502B">
        <w:rPr>
          <w:color w:val="000000" w:themeColor="text1"/>
          <w:shd w:val="clear" w:color="auto" w:fill="FFFFFF"/>
        </w:rPr>
        <w:t>[29]</w:t>
      </w:r>
    </w:p>
    <w:p w14:paraId="62241E1C" w14:textId="1EA3F17D" w:rsidR="00706789" w:rsidRPr="00A05342" w:rsidRDefault="00706789" w:rsidP="006D68CD">
      <w:pPr>
        <w:rPr>
          <w:color w:val="000000" w:themeColor="text1"/>
          <w:shd w:val="clear" w:color="auto" w:fill="FFFFFF"/>
        </w:rPr>
      </w:pPr>
    </w:p>
    <w:p w14:paraId="0CD963B9" w14:textId="1B325A09" w:rsidR="00706789" w:rsidRPr="00A05342" w:rsidRDefault="00706789" w:rsidP="00667EC1">
      <w:pPr>
        <w:spacing w:line="480" w:lineRule="auto"/>
        <w:rPr>
          <w:color w:val="000000" w:themeColor="text1"/>
        </w:rPr>
      </w:pPr>
      <w:r w:rsidRPr="00A05342">
        <w:rPr>
          <w:color w:val="000000" w:themeColor="text1"/>
        </w:rPr>
        <w:t xml:space="preserve">This idea is the same that Jesus espouses in John 9 when answering the disciples. God has </w:t>
      </w:r>
      <w:r>
        <w:rPr>
          <w:color w:val="000000" w:themeColor="text1"/>
        </w:rPr>
        <w:t xml:space="preserve">created </w:t>
      </w:r>
      <w:r w:rsidRPr="00A05342">
        <w:rPr>
          <w:color w:val="000000" w:themeColor="text1"/>
        </w:rPr>
        <w:t>those with disabilities in order to bring himself honor. Amos Yong continues this thought about disability by stating that the church, and by extension Christian education must support</w:t>
      </w:r>
      <w:r>
        <w:rPr>
          <w:color w:val="000000" w:themeColor="text1"/>
        </w:rPr>
        <w:t xml:space="preserve"> </w:t>
      </w:r>
      <w:r w:rsidRPr="00A05342">
        <w:rPr>
          <w:color w:val="000000" w:themeColor="text1"/>
        </w:rPr>
        <w:t xml:space="preserve">the </w:t>
      </w:r>
      <w:r>
        <w:rPr>
          <w:color w:val="000000" w:themeColor="text1"/>
        </w:rPr>
        <w:t>“</w:t>
      </w:r>
      <w:r w:rsidRPr="00A05342">
        <w:rPr>
          <w:color w:val="000000" w:themeColor="text1"/>
        </w:rPr>
        <w:t>full inclusion of all and the reception of each contribution resulting in the enrichment and edification of others.”</w:t>
      </w:r>
      <w:r w:rsidRPr="00A05342">
        <w:rPr>
          <w:rStyle w:val="EndnoteReference"/>
        </w:rPr>
        <w:endnoteReference w:id="30"/>
      </w:r>
      <w:r w:rsidR="000B502B">
        <w:rPr>
          <w:color w:val="000000" w:themeColor="text1"/>
        </w:rPr>
        <w:t>[30]</w:t>
      </w:r>
      <w:r w:rsidRPr="00A05342">
        <w:rPr>
          <w:color w:val="000000" w:themeColor="text1"/>
        </w:rPr>
        <w:t xml:space="preserve"> Those with disabilities must be cared for not only by the church but by all Christian institutions. However, </w:t>
      </w:r>
      <w:r>
        <w:rPr>
          <w:color w:val="000000" w:themeColor="text1"/>
        </w:rPr>
        <w:t xml:space="preserve">people with disabilities </w:t>
      </w:r>
      <w:r w:rsidRPr="00A05342">
        <w:rPr>
          <w:color w:val="000000" w:themeColor="text1"/>
        </w:rPr>
        <w:t>have been called by God to be full and complete members of God’s body.</w:t>
      </w:r>
      <w:r w:rsidRPr="00A05342">
        <w:rPr>
          <w:rStyle w:val="EndnoteReference"/>
        </w:rPr>
        <w:endnoteReference w:id="31"/>
      </w:r>
      <w:r w:rsidR="000B502B">
        <w:rPr>
          <w:color w:val="000000" w:themeColor="text1"/>
        </w:rPr>
        <w:t>[31]</w:t>
      </w:r>
      <w:r w:rsidRPr="00A05342">
        <w:rPr>
          <w:color w:val="000000" w:themeColor="text1"/>
        </w:rPr>
        <w:t xml:space="preserve"> </w:t>
      </w:r>
      <w:r>
        <w:rPr>
          <w:color w:val="000000" w:themeColor="text1"/>
        </w:rPr>
        <w:t xml:space="preserve">In Christian education, this means that an effort should be made to educate a diverse group of people, just as Jesus did when he taught each person, “as much as they </w:t>
      </w:r>
      <w:r>
        <w:rPr>
          <w:color w:val="000000" w:themeColor="text1"/>
        </w:rPr>
        <w:lastRenderedPageBreak/>
        <w:t>could understand.”</w:t>
      </w:r>
      <w:r>
        <w:rPr>
          <w:rStyle w:val="EndnoteReference"/>
          <w:color w:val="000000" w:themeColor="text1"/>
        </w:rPr>
        <w:endnoteReference w:id="32"/>
      </w:r>
      <w:r w:rsidR="000B502B">
        <w:rPr>
          <w:color w:val="000000" w:themeColor="text1"/>
        </w:rPr>
        <w:t>[32]</w:t>
      </w:r>
      <w:r>
        <w:rPr>
          <w:color w:val="000000" w:themeColor="text1"/>
        </w:rPr>
        <w:t xml:space="preserve"> D</w:t>
      </w:r>
      <w:r w:rsidRPr="00A05342">
        <w:rPr>
          <w:color w:val="000000" w:themeColor="text1"/>
        </w:rPr>
        <w:t>isabled people can and will be used by God to bring honor and glory to himself in the church, education, and society. This is true in the church as well as in Christian educational settings.</w:t>
      </w:r>
      <w:r w:rsidRPr="00A05342">
        <w:rPr>
          <w:rStyle w:val="EndnoteReference"/>
        </w:rPr>
        <w:endnoteReference w:id="33"/>
      </w:r>
      <w:r w:rsidR="000B502B">
        <w:rPr>
          <w:color w:val="000000" w:themeColor="text1"/>
        </w:rPr>
        <w:t>[33]</w:t>
      </w:r>
    </w:p>
    <w:p w14:paraId="0C3514D7" w14:textId="5E49037E" w:rsidR="00706789" w:rsidRPr="00A05342" w:rsidRDefault="00706789" w:rsidP="00667EC1">
      <w:pPr>
        <w:spacing w:line="480" w:lineRule="auto"/>
        <w:ind w:firstLine="720"/>
      </w:pPr>
      <w:r w:rsidRPr="00A05342">
        <w:t xml:space="preserve">Christian higher education tasks include sharing God's general revelation, found in His creation, and his special revelation, found in God's </w:t>
      </w:r>
      <w:r>
        <w:t>W</w:t>
      </w:r>
      <w:r w:rsidRPr="00A05342">
        <w:t>ord, in a productive educational environment.</w:t>
      </w:r>
      <w:r w:rsidRPr="00A05342">
        <w:rPr>
          <w:rStyle w:val="EndnoteReference"/>
        </w:rPr>
        <w:endnoteReference w:id="34"/>
      </w:r>
      <w:r w:rsidR="000B502B">
        <w:t>[34]</w:t>
      </w:r>
      <w:r w:rsidRPr="00A05342">
        <w:t xml:space="preserve"> The fact that some students have learning disabilities does not absolve educators of the responsibility they have to teach their specific content area alongside the imperative to engage in spiritual formation with their students. The Great Commission </w:t>
      </w:r>
      <w:r>
        <w:t>instructs</w:t>
      </w:r>
      <w:r w:rsidRPr="00A05342">
        <w:t xml:space="preserve"> Christians to go and make disciples, baptize those that believe, and teach them what God has commanded.</w:t>
      </w:r>
      <w:r w:rsidRPr="00A05342">
        <w:rPr>
          <w:rStyle w:val="EndnoteReference"/>
        </w:rPr>
        <w:endnoteReference w:id="35"/>
      </w:r>
      <w:r w:rsidR="000B502B">
        <w:t>[35]</w:t>
      </w:r>
      <w:r w:rsidRPr="00A05342">
        <w:t xml:space="preserve"> This should be the foundational verse for how Christian educators approach students with learning disabilities. There are no qualifiers in the section where Christians are commanded to teach. The educator’s job is to care for the students and design an equal educational environment for all students to learn. God created each student, disabilities present or not, and called educators to care for and teach these students in an environment that fosters collegiality, belonging, and community in learning.</w:t>
      </w:r>
      <w:r w:rsidRPr="00A05342">
        <w:rPr>
          <w:rStyle w:val="EndnoteReference"/>
        </w:rPr>
        <w:endnoteReference w:id="36"/>
      </w:r>
      <w:r w:rsidR="000B502B">
        <w:t>[36]</w:t>
      </w:r>
      <w:r w:rsidRPr="00A05342">
        <w:t xml:space="preserve"> Institutions, and the educators who teach there, have a calling to care for them, regardless of disability. </w:t>
      </w:r>
    </w:p>
    <w:p w14:paraId="14C1319B" w14:textId="53863411" w:rsidR="00706789" w:rsidRPr="00A05342" w:rsidRDefault="00706789" w:rsidP="006F5E04">
      <w:pPr>
        <w:spacing w:line="480" w:lineRule="auto"/>
        <w:ind w:firstLine="720"/>
        <w:rPr>
          <w:color w:val="000000" w:themeColor="text1"/>
        </w:rPr>
      </w:pPr>
      <w:r w:rsidRPr="00A05342">
        <w:rPr>
          <w:color w:val="000000" w:themeColor="text1"/>
        </w:rPr>
        <w:t>Christian schools are called to educate all people, no matter their circumstances.</w:t>
      </w:r>
      <w:r>
        <w:rPr>
          <w:rStyle w:val="EndnoteReference"/>
          <w:color w:val="000000" w:themeColor="text1"/>
        </w:rPr>
        <w:endnoteReference w:id="37"/>
      </w:r>
      <w:r w:rsidR="000B502B">
        <w:rPr>
          <w:color w:val="000000" w:themeColor="text1"/>
        </w:rPr>
        <w:t>[37]</w:t>
      </w:r>
      <w:r w:rsidRPr="00A05342">
        <w:rPr>
          <w:color w:val="000000" w:themeColor="text1"/>
        </w:rPr>
        <w:t xml:space="preserve"> This education is a community effort where all people, students, educators, and administrators, should find a common purpose in being a part of the </w:t>
      </w:r>
      <w:r>
        <w:rPr>
          <w:color w:val="000000" w:themeColor="text1"/>
        </w:rPr>
        <w:t>b</w:t>
      </w:r>
      <w:r w:rsidRPr="00A05342">
        <w:rPr>
          <w:color w:val="000000" w:themeColor="text1"/>
        </w:rPr>
        <w:t>ody of God.</w:t>
      </w:r>
      <w:r w:rsidRPr="00A05342">
        <w:rPr>
          <w:rStyle w:val="EndnoteReference"/>
        </w:rPr>
        <w:endnoteReference w:id="38"/>
      </w:r>
      <w:r w:rsidR="000B502B">
        <w:rPr>
          <w:color w:val="000000" w:themeColor="text1"/>
        </w:rPr>
        <w:t>[38]</w:t>
      </w:r>
      <w:r w:rsidRPr="00A05342">
        <w:rPr>
          <w:color w:val="000000" w:themeColor="text1"/>
        </w:rPr>
        <w:t xml:space="preserve"> </w:t>
      </w:r>
      <w:r>
        <w:rPr>
          <w:color w:val="000000" w:themeColor="text1"/>
        </w:rPr>
        <w:t>A</w:t>
      </w:r>
      <w:r w:rsidRPr="00A05342">
        <w:rPr>
          <w:color w:val="000000" w:themeColor="text1"/>
        </w:rPr>
        <w:t xml:space="preserve"> dearth of research </w:t>
      </w:r>
      <w:r>
        <w:rPr>
          <w:color w:val="000000" w:themeColor="text1"/>
        </w:rPr>
        <w:t>illuminates</w:t>
      </w:r>
      <w:r w:rsidRPr="00A05342">
        <w:rPr>
          <w:color w:val="000000" w:themeColor="text1"/>
        </w:rPr>
        <w:t xml:space="preserve"> how the IDEA interacts with Christian schools that offer primary or secondary education.</w:t>
      </w:r>
      <w:r w:rsidRPr="00A05342">
        <w:rPr>
          <w:rStyle w:val="EndnoteReference"/>
        </w:rPr>
        <w:endnoteReference w:id="39"/>
      </w:r>
      <w:r w:rsidR="000B502B">
        <w:rPr>
          <w:color w:val="000000" w:themeColor="text1"/>
        </w:rPr>
        <w:t>[39]</w:t>
      </w:r>
      <w:r w:rsidRPr="00A05342">
        <w:rPr>
          <w:color w:val="000000" w:themeColor="text1"/>
        </w:rPr>
        <w:t xml:space="preserve"> However, there is a disturbing lack of writing about Christian higher education and serving students with learning </w:t>
      </w:r>
      <w:r w:rsidRPr="00A05342">
        <w:rPr>
          <w:color w:val="000000" w:themeColor="text1"/>
        </w:rPr>
        <w:lastRenderedPageBreak/>
        <w:t>disabilities.</w:t>
      </w:r>
      <w:r w:rsidRPr="00A05342">
        <w:rPr>
          <w:rStyle w:val="EndnoteReference"/>
        </w:rPr>
        <w:endnoteReference w:id="40"/>
      </w:r>
      <w:r w:rsidR="000B502B">
        <w:rPr>
          <w:color w:val="000000" w:themeColor="text1"/>
        </w:rPr>
        <w:t>[40]</w:t>
      </w:r>
      <w:r w:rsidRPr="00A05342">
        <w:rPr>
          <w:color w:val="000000" w:themeColor="text1"/>
        </w:rPr>
        <w:t xml:space="preserve"> This does not mean that Christian colleges, universities, and seminaries are not serving students with disabilities. Nevertheless, because </w:t>
      </w:r>
      <w:r>
        <w:rPr>
          <w:color w:val="000000" w:themeColor="text1"/>
        </w:rPr>
        <w:t xml:space="preserve">of </w:t>
      </w:r>
      <w:r w:rsidRPr="00A05342">
        <w:rPr>
          <w:color w:val="000000" w:themeColor="text1"/>
        </w:rPr>
        <w:t>Jesus</w:t>
      </w:r>
      <w:r>
        <w:rPr>
          <w:color w:val="000000" w:themeColor="text1"/>
        </w:rPr>
        <w:t>’</w:t>
      </w:r>
      <w:r w:rsidRPr="00A05342">
        <w:rPr>
          <w:color w:val="000000" w:themeColor="text1"/>
        </w:rPr>
        <w:t xml:space="preserve"> </w:t>
      </w:r>
      <w:r>
        <w:rPr>
          <w:color w:val="000000" w:themeColor="text1"/>
        </w:rPr>
        <w:t>model of minister to all people</w:t>
      </w:r>
      <w:r w:rsidRPr="00A05342">
        <w:rPr>
          <w:color w:val="000000" w:themeColor="text1"/>
        </w:rPr>
        <w:t>, Christian universities must be diverse, including those with learning disabilities.</w:t>
      </w:r>
      <w:r w:rsidRPr="00A05342">
        <w:rPr>
          <w:rStyle w:val="EndnoteReference"/>
        </w:rPr>
        <w:endnoteReference w:id="41"/>
      </w:r>
      <w:r w:rsidR="000B502B">
        <w:rPr>
          <w:color w:val="000000" w:themeColor="text1"/>
        </w:rPr>
        <w:t>[41]</w:t>
      </w:r>
      <w:r w:rsidRPr="00A05342">
        <w:rPr>
          <w:color w:val="000000" w:themeColor="text1"/>
        </w:rPr>
        <w:t xml:space="preserve"> Leaders of Christian higher education must be prepared to care for the least of these and institute programs that seek to meet the needs of those with learning disabilities.</w:t>
      </w:r>
      <w:r w:rsidRPr="00A05342">
        <w:rPr>
          <w:rStyle w:val="EndnoteReference"/>
        </w:rPr>
        <w:endnoteReference w:id="42"/>
      </w:r>
      <w:r w:rsidR="000B502B">
        <w:rPr>
          <w:color w:val="000000" w:themeColor="text1"/>
        </w:rPr>
        <w:t>[42]</w:t>
      </w:r>
    </w:p>
    <w:p w14:paraId="502643C9" w14:textId="6C96DA69" w:rsidR="00706789" w:rsidRPr="00A05342" w:rsidRDefault="00706789" w:rsidP="002E7415">
      <w:pPr>
        <w:spacing w:before="120" w:line="480" w:lineRule="auto"/>
        <w:jc w:val="center"/>
      </w:pPr>
      <w:r w:rsidRPr="00A05342">
        <w:rPr>
          <w:b/>
          <w:bCs/>
        </w:rPr>
        <w:t>Neuroscience and Learning Disabilities</w:t>
      </w:r>
    </w:p>
    <w:p w14:paraId="620CB58D" w14:textId="67B04553" w:rsidR="00706789" w:rsidRPr="00A05342" w:rsidRDefault="00706789" w:rsidP="00667EC1">
      <w:pPr>
        <w:spacing w:line="480" w:lineRule="auto"/>
        <w:ind w:firstLine="720"/>
        <w:rPr>
          <w:color w:val="000000" w:themeColor="text1"/>
        </w:rPr>
      </w:pPr>
      <w:r w:rsidRPr="00A05342">
        <w:rPr>
          <w:color w:val="000000" w:themeColor="text1"/>
        </w:rPr>
        <w:t xml:space="preserve">Neuroscience is the study of how the brain functions. For Christian educators, this study of the brain is foundational to understand </w:t>
      </w:r>
      <w:r>
        <w:rPr>
          <w:color w:val="000000" w:themeColor="text1"/>
        </w:rPr>
        <w:t xml:space="preserve">how to educate students in light of the </w:t>
      </w:r>
      <w:r>
        <w:rPr>
          <w:i/>
          <w:iCs/>
          <w:color w:val="000000" w:themeColor="text1"/>
        </w:rPr>
        <w:t>imago</w:t>
      </w:r>
      <w:r w:rsidRPr="00A05342">
        <w:rPr>
          <w:i/>
          <w:iCs/>
          <w:color w:val="000000" w:themeColor="text1"/>
        </w:rPr>
        <w:t xml:space="preserve"> Dei</w:t>
      </w:r>
      <w:r>
        <w:rPr>
          <w:color w:val="000000" w:themeColor="text1"/>
        </w:rPr>
        <w:t xml:space="preserve"> and learning disabilities.</w:t>
      </w:r>
      <w:r w:rsidRPr="00A05342">
        <w:rPr>
          <w:rStyle w:val="EndnoteReference"/>
        </w:rPr>
        <w:endnoteReference w:id="43"/>
      </w:r>
      <w:r w:rsidR="000B502B">
        <w:rPr>
          <w:color w:val="000000" w:themeColor="text1"/>
        </w:rPr>
        <w:t>[43]</w:t>
      </w:r>
      <w:r w:rsidRPr="00A05342">
        <w:rPr>
          <w:color w:val="000000" w:themeColor="text1"/>
        </w:rPr>
        <w:t xml:space="preserve"> Suppose Christians believe that God is the originator and creator of humanity and that the brain is the center of human learning. In that case, this understanding leads to a need to understand how God created our brains to work to increase the efficacy of educational techniques. The study of our brains has produced educational innovations that come with an imperative for implementation.</w:t>
      </w:r>
      <w:r>
        <w:rPr>
          <w:rStyle w:val="EndnoteReference"/>
          <w:color w:val="000000" w:themeColor="text1"/>
        </w:rPr>
        <w:endnoteReference w:id="44"/>
      </w:r>
      <w:r w:rsidR="000B502B">
        <w:rPr>
          <w:color w:val="000000" w:themeColor="text1"/>
        </w:rPr>
        <w:t>[44]</w:t>
      </w:r>
      <w:r w:rsidRPr="00A05342">
        <w:rPr>
          <w:color w:val="000000" w:themeColor="text1"/>
        </w:rPr>
        <w:t xml:space="preserve"> Over the last ten years, </w:t>
      </w:r>
      <w:r>
        <w:rPr>
          <w:color w:val="000000" w:themeColor="text1"/>
        </w:rPr>
        <w:t xml:space="preserve">the findings of neuroscientific research </w:t>
      </w:r>
      <w:r w:rsidRPr="00A05342">
        <w:rPr>
          <w:color w:val="000000" w:themeColor="text1"/>
        </w:rPr>
        <w:t>ha</w:t>
      </w:r>
      <w:r>
        <w:rPr>
          <w:color w:val="000000" w:themeColor="text1"/>
        </w:rPr>
        <w:t>ve</w:t>
      </w:r>
      <w:r w:rsidRPr="00A05342">
        <w:rPr>
          <w:color w:val="000000" w:themeColor="text1"/>
        </w:rPr>
        <w:t xml:space="preserve"> been applied, with great success, in the realm of educational theory.</w:t>
      </w:r>
      <w:r w:rsidRPr="00A05342">
        <w:rPr>
          <w:rStyle w:val="EndnoteReference"/>
        </w:rPr>
        <w:endnoteReference w:id="45"/>
      </w:r>
      <w:r w:rsidR="000B502B">
        <w:rPr>
          <w:color w:val="000000" w:themeColor="text1"/>
        </w:rPr>
        <w:t>[45]</w:t>
      </w:r>
      <w:r w:rsidRPr="00A05342">
        <w:rPr>
          <w:color w:val="000000" w:themeColor="text1"/>
        </w:rPr>
        <w:t xml:space="preserve"> The linking of neuroscience research and educational practice is a subject too large to cover in this article. However, the basics of what this research has uncovered about how the brain engages in learning will be covered in subsequent paragraphs.</w:t>
      </w:r>
      <w:r w:rsidRPr="00A05342">
        <w:rPr>
          <w:rStyle w:val="EndnoteReference"/>
        </w:rPr>
        <w:endnoteReference w:id="46"/>
      </w:r>
      <w:r w:rsidR="000B502B">
        <w:rPr>
          <w:color w:val="000000" w:themeColor="text1"/>
        </w:rPr>
        <w:t>[46]</w:t>
      </w:r>
      <w:r w:rsidRPr="00A05342">
        <w:rPr>
          <w:color w:val="FF0000"/>
        </w:rPr>
        <w:t xml:space="preserve"> </w:t>
      </w:r>
      <w:r w:rsidRPr="00A05342">
        <w:rPr>
          <w:color w:val="000000" w:themeColor="text1"/>
        </w:rPr>
        <w:t xml:space="preserve">However, neuroscience research and educational practice can </w:t>
      </w:r>
      <w:r>
        <w:rPr>
          <w:color w:val="000000" w:themeColor="text1"/>
        </w:rPr>
        <w:t xml:space="preserve">help </w:t>
      </w:r>
      <w:r w:rsidRPr="00A05342">
        <w:rPr>
          <w:color w:val="000000" w:themeColor="text1"/>
        </w:rPr>
        <w:t xml:space="preserve">educators </w:t>
      </w:r>
      <w:r>
        <w:rPr>
          <w:color w:val="000000" w:themeColor="text1"/>
        </w:rPr>
        <w:t xml:space="preserve">progress to a certain point </w:t>
      </w:r>
      <w:r w:rsidRPr="00A05342">
        <w:rPr>
          <w:color w:val="000000" w:themeColor="text1"/>
        </w:rPr>
        <w:t>because of the complex nature of defining learning disabilities in students.</w:t>
      </w:r>
      <w:r w:rsidRPr="00A05342">
        <w:rPr>
          <w:rStyle w:val="EndnoteReference"/>
        </w:rPr>
        <w:endnoteReference w:id="47"/>
      </w:r>
      <w:r w:rsidR="000B502B">
        <w:rPr>
          <w:color w:val="000000" w:themeColor="text1"/>
        </w:rPr>
        <w:t>[47]</w:t>
      </w:r>
      <w:r w:rsidRPr="00A05342">
        <w:rPr>
          <w:color w:val="000000" w:themeColor="text1"/>
        </w:rPr>
        <w:t xml:space="preserve"> </w:t>
      </w:r>
    </w:p>
    <w:p w14:paraId="11DDF5DF" w14:textId="3E67FC76" w:rsidR="00706789" w:rsidRPr="00A05342" w:rsidRDefault="00706789" w:rsidP="00667EC1">
      <w:pPr>
        <w:spacing w:line="480" w:lineRule="auto"/>
      </w:pPr>
      <w:r w:rsidRPr="00A05342">
        <w:tab/>
        <w:t>The study of how the brain learns is a study of memory.</w:t>
      </w:r>
      <w:r w:rsidRPr="00A05342">
        <w:rPr>
          <w:rStyle w:val="EndnoteReference"/>
        </w:rPr>
        <w:endnoteReference w:id="48"/>
      </w:r>
      <w:r w:rsidR="000B502B">
        <w:t>[48]</w:t>
      </w:r>
      <w:r w:rsidRPr="00A05342">
        <w:t xml:space="preserve"> The human body takes in sensory inputs, encodes those inputs into information that the brain can </w:t>
      </w:r>
      <w:r w:rsidRPr="00A05342">
        <w:lastRenderedPageBreak/>
        <w:t>understand, and then moves to short-term memory. These sensory inputs can be one of two kinds of inputs; either visual-pictoral or auditory-verbal input channels.</w:t>
      </w:r>
      <w:r w:rsidRPr="00A05342">
        <w:rPr>
          <w:rStyle w:val="EndnoteReference"/>
        </w:rPr>
        <w:endnoteReference w:id="49"/>
      </w:r>
      <w:r w:rsidR="000B502B">
        <w:t>[49</w:t>
      </w:r>
      <w:r w:rsidR="00A81FF0">
        <w:t>]</w:t>
      </w:r>
      <w:r w:rsidR="00A81FF0" w:rsidRPr="00A05342">
        <w:t xml:space="preserve"> There</w:t>
      </w:r>
      <w:r w:rsidRPr="00A05342">
        <w:t xml:space="preserve"> is a prevailing myth that individual learners only learn in one primary way; either auditory, visual, or kinesthetic. However, research has </w:t>
      </w:r>
      <w:r>
        <w:t>demonstrated</w:t>
      </w:r>
      <w:r w:rsidRPr="00A05342">
        <w:t xml:space="preserve"> significant interconnectedness and inter-modal transfer between the brain sections that process visual, auditory, and kinesthetic inputs.</w:t>
      </w:r>
      <w:r w:rsidRPr="00A05342">
        <w:rPr>
          <w:rStyle w:val="EndnoteReference"/>
        </w:rPr>
        <w:endnoteReference w:id="50"/>
      </w:r>
      <w:r w:rsidR="000B502B">
        <w:t>[50]</w:t>
      </w:r>
      <w:r w:rsidRPr="00A05342">
        <w:t xml:space="preserve"> The body will encode both types, but learning is more permanent when these signal inputs are encoded in a dualistic manner involving both types simultaneously. </w:t>
      </w:r>
    </w:p>
    <w:p w14:paraId="610BFBE4" w14:textId="306487C1" w:rsidR="00706789" w:rsidRPr="00A05342" w:rsidRDefault="00706789" w:rsidP="00667EC1">
      <w:pPr>
        <w:spacing w:line="480" w:lineRule="auto"/>
      </w:pPr>
      <w:r w:rsidRPr="00A05342">
        <w:tab/>
        <w:t>From the encoding process, these signal inputs move to short-term or working memory. The average person can only hold seven plus or minus two sensory inputs at a time in working memory.</w:t>
      </w:r>
      <w:r w:rsidRPr="00A05342">
        <w:rPr>
          <w:rStyle w:val="EndnoteReference"/>
        </w:rPr>
        <w:endnoteReference w:id="51"/>
      </w:r>
      <w:r w:rsidR="000B502B">
        <w:t>[51]</w:t>
      </w:r>
      <w:r w:rsidRPr="00A05342">
        <w:t xml:space="preserve"> These inputs are held in the working memory until the brain can decide the stimuli's value. Then, the brain recalls information stored in long-term memory to attach to these new sensory inputs. If the brain deems that this information is unimportant, then the inputs are purged from short-term memory. This linking of new inputs with inputs that have been recalled from long-term storage is called "prior learning activation."</w:t>
      </w:r>
      <w:r w:rsidRPr="00A05342">
        <w:rPr>
          <w:rStyle w:val="EndnoteReference"/>
        </w:rPr>
        <w:endnoteReference w:id="52"/>
      </w:r>
      <w:r w:rsidR="000B502B">
        <w:t>[52]</w:t>
      </w:r>
      <w:r w:rsidRPr="00A05342">
        <w:t xml:space="preserve"> This activation of prior learning strengthens the connection between mirror neurons in the brain and leads to more robust and longer-lasting learning connections. </w:t>
      </w:r>
    </w:p>
    <w:p w14:paraId="6E583255" w14:textId="3749B5F8" w:rsidR="00706789" w:rsidRPr="00A05342" w:rsidRDefault="00706789" w:rsidP="00667EC1">
      <w:pPr>
        <w:spacing w:line="480" w:lineRule="auto"/>
      </w:pPr>
      <w:r w:rsidRPr="00A05342">
        <w:tab/>
        <w:t xml:space="preserve">The next step in strengthening the learning in the brain is to lead students to recall information for practice through prior learning activation. This forces the brain to search the long-term storage to collect the relevant stored sensory inputs to put them into practice. This practice helps strengthen the connections between neurons in the brain and hard encodes the information for more extended storage. The more </w:t>
      </w:r>
      <w:r>
        <w:t xml:space="preserve">engaging the </w:t>
      </w:r>
      <w:r w:rsidRPr="00A05342">
        <w:t xml:space="preserve">practice </w:t>
      </w:r>
      <w:r w:rsidRPr="00A05342">
        <w:lastRenderedPageBreak/>
        <w:t>with these inputs from long-term memory, the more neuron</w:t>
      </w:r>
      <w:r>
        <w:t>al</w:t>
      </w:r>
      <w:r w:rsidRPr="00A05342">
        <w:t xml:space="preserve"> connections that are made, and the more enduring the encoding of this information is in long-term storage.</w:t>
      </w:r>
      <w:r w:rsidRPr="00A05342">
        <w:rPr>
          <w:rStyle w:val="EndnoteReference"/>
        </w:rPr>
        <w:endnoteReference w:id="53"/>
      </w:r>
      <w:r w:rsidR="000B502B">
        <w:t>[53]</w:t>
      </w:r>
      <w:r w:rsidRPr="00A05342">
        <w:t xml:space="preserve"> </w:t>
      </w:r>
    </w:p>
    <w:p w14:paraId="099339BD" w14:textId="207C3A53" w:rsidR="00706789" w:rsidRDefault="00706789" w:rsidP="00020337">
      <w:pPr>
        <w:spacing w:line="480" w:lineRule="auto"/>
      </w:pPr>
      <w:r w:rsidRPr="00A05342">
        <w:tab/>
        <w:t>The question must be asked, though, how do people who have learning disabilities learn when their brains do not function normally?</w:t>
      </w:r>
      <w:r w:rsidRPr="00A05342">
        <w:rPr>
          <w:rStyle w:val="EndnoteReference"/>
        </w:rPr>
        <w:endnoteReference w:id="54"/>
      </w:r>
      <w:r w:rsidR="000B502B">
        <w:t>[54]</w:t>
      </w:r>
      <w:r w:rsidRPr="00A05342">
        <w:t xml:space="preserve"> The general process for sensory input intake and then moving them to short-term or working memory is not always automatic for those with learning disabilities.</w:t>
      </w:r>
      <w:r>
        <w:rPr>
          <w:rStyle w:val="EndnoteReference"/>
        </w:rPr>
        <w:endnoteReference w:id="55"/>
      </w:r>
      <w:r w:rsidR="000B502B">
        <w:t>[55]</w:t>
      </w:r>
      <w:r w:rsidRPr="00A05342">
        <w:t xml:space="preserve"> </w:t>
      </w:r>
      <w:r>
        <w:t xml:space="preserve">The encoding processes present in </w:t>
      </w:r>
      <w:r w:rsidRPr="00A05342">
        <w:t>the brains of students with learning disabilities encode certain stimuli differently</w:t>
      </w:r>
      <w:r>
        <w:t xml:space="preserve"> than neurotypical students</w:t>
      </w:r>
      <w:r w:rsidRPr="00A05342">
        <w:t>.</w:t>
      </w:r>
      <w:r w:rsidRPr="00A05342">
        <w:rPr>
          <w:rStyle w:val="EndnoteReference"/>
        </w:rPr>
        <w:endnoteReference w:id="56"/>
      </w:r>
      <w:r w:rsidR="000B502B">
        <w:t>[56]</w:t>
      </w:r>
      <w:r w:rsidRPr="00A05342">
        <w:t xml:space="preserve"> Those with learning disabilities all have specific areas of their brain that do not process and encode stimuli that those who are neurotypical do.</w:t>
      </w:r>
      <w:r w:rsidRPr="00A05342">
        <w:rPr>
          <w:rStyle w:val="EndnoteReference"/>
        </w:rPr>
        <w:endnoteReference w:id="57"/>
      </w:r>
      <w:r w:rsidR="000B502B">
        <w:t xml:space="preserve">[57] </w:t>
      </w:r>
      <w:r w:rsidRPr="00A05342">
        <w:t xml:space="preserve">As stated earlier in the article, even though all students with learning disabilities are combined into one category, students with learning disabilities are not equal. </w:t>
      </w:r>
    </w:p>
    <w:p w14:paraId="4D597FF0" w14:textId="0DEC3C1C" w:rsidR="00706789" w:rsidRPr="00096DEC" w:rsidRDefault="00706789" w:rsidP="00096DEC">
      <w:pPr>
        <w:spacing w:line="480" w:lineRule="auto"/>
        <w:jc w:val="center"/>
        <w:rPr>
          <w:b/>
          <w:bCs/>
        </w:rPr>
      </w:pPr>
      <w:r w:rsidRPr="00096DEC">
        <w:rPr>
          <w:b/>
          <w:bCs/>
        </w:rPr>
        <w:t>Learning Disabilities</w:t>
      </w:r>
      <w:r>
        <w:rPr>
          <w:b/>
          <w:bCs/>
        </w:rPr>
        <w:t>: Equality and Access</w:t>
      </w:r>
    </w:p>
    <w:p w14:paraId="07812548" w14:textId="2DA4533B" w:rsidR="00706789" w:rsidRPr="00A05342" w:rsidRDefault="00706789" w:rsidP="00EB4218">
      <w:pPr>
        <w:spacing w:line="480" w:lineRule="auto"/>
        <w:ind w:firstLine="720"/>
      </w:pPr>
      <w:r w:rsidRPr="00A05342">
        <w:t>These differences found in individuals with disabilities can manifest in a myriad of ways. However, the IDEA enumerates 13 different categories of disability.</w:t>
      </w:r>
      <w:r w:rsidRPr="00A05342">
        <w:rPr>
          <w:rStyle w:val="EndnoteReference"/>
        </w:rPr>
        <w:endnoteReference w:id="58"/>
      </w:r>
      <w:r w:rsidR="000B502B">
        <w:t>[58]</w:t>
      </w:r>
      <w:r w:rsidRPr="00A05342">
        <w:t xml:space="preserve"> These are all included in the list of disabilities that the IDEA states that students will receive an equal opportunity at education. However, not all disabilities on this list involve an impairment in brain function or how the brain processes input signals. These disabilities broadly fit into two categories; those that involve the brain and those that are primarily physical. However, disabilities, such as traumatic brain injuries, include both neurological symptoms and physical symptoms. The vision and hearing impaired are similar as well. However, they have been included in the discussion for the confines of this article since their brains are not receiving stimuli from one or more significant senses and require accommodations. For the confines of this article, the primary focus will be on </w:t>
      </w:r>
      <w:r w:rsidRPr="00A05342">
        <w:lastRenderedPageBreak/>
        <w:t>those disabilities listed in the specific learning disability category of the IDEA and other health impairments.</w:t>
      </w:r>
      <w:r w:rsidRPr="00A05342">
        <w:rPr>
          <w:rStyle w:val="EndnoteReference"/>
        </w:rPr>
        <w:endnoteReference w:id="59"/>
      </w:r>
      <w:r w:rsidR="000B502B">
        <w:t>[59]</w:t>
      </w:r>
    </w:p>
    <w:p w14:paraId="04D83A1B" w14:textId="28CCDA15" w:rsidR="00706789" w:rsidRPr="00A05342" w:rsidRDefault="00706789" w:rsidP="00667EC1">
      <w:pPr>
        <w:spacing w:line="480" w:lineRule="auto"/>
        <w:ind w:firstLine="720"/>
      </w:pPr>
      <w:r>
        <w:t>For those tasked with educating those with learning disabilities, i</w:t>
      </w:r>
      <w:r w:rsidRPr="00A05342">
        <w:t>t is important to note how these students have equal access to education. Students identified to have learning disabilities in preschool through twelfth grade have an education plan crafted for them. This plan comes in the form of either a 504 plan or Individualized Education Plan or IEP.</w:t>
      </w:r>
      <w:r w:rsidRPr="00A05342">
        <w:rPr>
          <w:rStyle w:val="EndnoteReference"/>
        </w:rPr>
        <w:endnoteReference w:id="60"/>
      </w:r>
      <w:r w:rsidR="000B502B">
        <w:t>[60]</w:t>
      </w:r>
      <w:r w:rsidRPr="00A05342">
        <w:t xml:space="preserve"> These plans are designed to consider the students' disabilities and codify the classroom accommodations that the students are required by law to receive an equal level of education to a student unencumbered by a disability.</w:t>
      </w:r>
      <w:r w:rsidRPr="00A05342">
        <w:rPr>
          <w:rStyle w:val="EndnoteReference"/>
        </w:rPr>
        <w:endnoteReference w:id="61"/>
      </w:r>
      <w:r w:rsidR="000B502B">
        <w:t>[61]</w:t>
      </w:r>
      <w:r w:rsidRPr="00A05342">
        <w:t xml:space="preserve"> These plans are designed to reinforce the point that these students do not learn poorly but differently from the average student. A note must be made at this point about learning disabilities and students of higher education. There is no formalized IEP or 504 plans for higher education </w:t>
      </w:r>
      <w:r>
        <w:t xml:space="preserve">institutions </w:t>
      </w:r>
      <w:r w:rsidRPr="00A05342">
        <w:t>to implement.</w:t>
      </w:r>
      <w:r w:rsidRPr="00A05342">
        <w:rPr>
          <w:rStyle w:val="EndnoteReference"/>
        </w:rPr>
        <w:endnoteReference w:id="62"/>
      </w:r>
      <w:r w:rsidR="000B502B">
        <w:t>[62]</w:t>
      </w:r>
      <w:r w:rsidRPr="00A05342">
        <w:t xml:space="preserve"> However, as a rule, colleges and universities have a student affairs office that will accept the IEP from a student primary educational institute and attempt to make accommodations to fit the college students' disabilities.</w:t>
      </w:r>
      <w:r w:rsidRPr="00A05342">
        <w:rPr>
          <w:rStyle w:val="EndnoteReference"/>
        </w:rPr>
        <w:endnoteReference w:id="63"/>
      </w:r>
      <w:r w:rsidR="000B502B">
        <w:t>[63]</w:t>
      </w:r>
      <w:r w:rsidRPr="00A05342">
        <w:t xml:space="preserve"> </w:t>
      </w:r>
      <w:r>
        <w:t>Educators must take note that</w:t>
      </w:r>
      <w:r w:rsidRPr="00A05342">
        <w:t xml:space="preserve"> because of the self-directed nature of higher education, specifically in light of the proliferation of digital learning environments, </w:t>
      </w:r>
      <w:r>
        <w:t xml:space="preserve">learning disabled </w:t>
      </w:r>
      <w:r w:rsidRPr="00A05342">
        <w:t xml:space="preserve">students may find this transition problematic as they enter </w:t>
      </w:r>
      <w:r>
        <w:t xml:space="preserve">higher education on the eve of </w:t>
      </w:r>
      <w:r w:rsidRPr="00A05342">
        <w:t>adulthood.</w:t>
      </w:r>
    </w:p>
    <w:p w14:paraId="6929099E" w14:textId="18B76429" w:rsidR="00706789" w:rsidRPr="00A05342" w:rsidRDefault="00706789" w:rsidP="00667EC1">
      <w:pPr>
        <w:spacing w:line="480" w:lineRule="auto"/>
      </w:pPr>
      <w:r w:rsidRPr="00A05342">
        <w:tab/>
        <w:t>The institute of higher education is called to task by the IDEA to create an inclusive and accommodating learning environment for the students with learning disabilities to engage in learning.</w:t>
      </w:r>
      <w:r w:rsidRPr="00A05342">
        <w:rPr>
          <w:rStyle w:val="EndnoteReference"/>
        </w:rPr>
        <w:endnoteReference w:id="64"/>
      </w:r>
      <w:r w:rsidR="000B502B">
        <w:t>[64]</w:t>
      </w:r>
      <w:r w:rsidRPr="00A05342">
        <w:t xml:space="preserve"> However, this transition from high school to college is not easy for students afflicted with learning disabilities. For most students with </w:t>
      </w:r>
      <w:r w:rsidRPr="00A05342">
        <w:lastRenderedPageBreak/>
        <w:t>learning disabilities, receiving learning accommodations through IEPs and 504 plans were integral to their educational journey from elementary to high school. However, when they reach college, they are left to their own devices. One study, conducted in 2015-2016, focused on high school students making the transition to higher education while living with learning disabilities.</w:t>
      </w:r>
      <w:r w:rsidRPr="00A05342">
        <w:rPr>
          <w:rStyle w:val="EndnoteReference"/>
        </w:rPr>
        <w:endnoteReference w:id="65"/>
      </w:r>
      <w:r w:rsidR="000B502B">
        <w:t>[65]</w:t>
      </w:r>
      <w:r w:rsidRPr="00A05342">
        <w:t xml:space="preserve"> This study revealed that many of these students struggled during the transition to college because of a lack of self-directed and independent learning in secondary school. These students, who had accommodations in secondary school and </w:t>
      </w:r>
      <w:r>
        <w:t xml:space="preserve">guidance and special education departmental </w:t>
      </w:r>
      <w:r w:rsidRPr="00A05342">
        <w:t>faculty to advocate for them, are now faced with the reality of learning how to advocate for themselves to receive accommodations in their post-secondary educational journey.</w:t>
      </w:r>
      <w:r w:rsidRPr="00A05342">
        <w:rPr>
          <w:rStyle w:val="EndnoteReference"/>
        </w:rPr>
        <w:endnoteReference w:id="66"/>
      </w:r>
      <w:r w:rsidR="000B502B">
        <w:t>[66]</w:t>
      </w:r>
      <w:r w:rsidRPr="00A05342">
        <w:t xml:space="preserve"> Further, this study revealed that every student was at least partially responsible for designing their learning accommodations depending on the severity of their learning disability. This transition is exacerbated when the student is wholly or partially engaged in learning through digital environments.</w:t>
      </w:r>
      <w:r w:rsidRPr="00A05342">
        <w:rPr>
          <w:rStyle w:val="EndnoteReference"/>
        </w:rPr>
        <w:endnoteReference w:id="67"/>
      </w:r>
      <w:r w:rsidR="000B502B">
        <w:t>[67]</w:t>
      </w:r>
      <w:r w:rsidRPr="00A05342">
        <w:t xml:space="preserve"> The absence of physical contact and the inherent increase in self-directed and independent learning in digital environments increase the neurological load on students who have increased stress loading in learning disabilities.</w:t>
      </w:r>
      <w:r w:rsidRPr="00A05342">
        <w:rPr>
          <w:rStyle w:val="EndnoteReference"/>
        </w:rPr>
        <w:endnoteReference w:id="68"/>
      </w:r>
      <w:r w:rsidR="000B502B">
        <w:t>[68]</w:t>
      </w:r>
    </w:p>
    <w:p w14:paraId="22DC1818" w14:textId="2CA195AD" w:rsidR="00706789" w:rsidRPr="00A05342" w:rsidRDefault="00706789" w:rsidP="006C5314">
      <w:pPr>
        <w:spacing w:line="480" w:lineRule="auto"/>
        <w:ind w:firstLine="720"/>
      </w:pPr>
      <w:r w:rsidRPr="00A05342">
        <w:t>These are the categories</w:t>
      </w:r>
      <w:r>
        <w:t xml:space="preserve"> that </w:t>
      </w:r>
      <w:r w:rsidR="000B502B">
        <w:t>necessitate</w:t>
      </w:r>
      <w:r w:rsidRPr="00A05342">
        <w:t xml:space="preserve"> consider</w:t>
      </w:r>
      <w:r>
        <w:t>ation</w:t>
      </w:r>
      <w:r w:rsidRPr="00A05342">
        <w:t xml:space="preserve"> by educators when thinking through how students with learning disabilities can </w:t>
      </w:r>
      <w:r>
        <w:t xml:space="preserve">transition well into higher education and </w:t>
      </w:r>
      <w:r w:rsidRPr="00A05342">
        <w:t>learn best in digital environments.</w:t>
      </w:r>
      <w:r>
        <w:rPr>
          <w:rStyle w:val="EndnoteReference"/>
        </w:rPr>
        <w:endnoteReference w:id="69"/>
      </w:r>
      <w:r w:rsidR="000B502B">
        <w:t>[69]</w:t>
      </w:r>
      <w:r w:rsidRPr="00A05342">
        <w:t xml:space="preserve"> The educational landscape has significantly changed over the last eighteen months during COVID, emphasizing the proliferation of digital education environments. This proliferation threatens students, both in primary schools and colleges, with the inability to receive accommodations for their learning </w:t>
      </w:r>
      <w:r w:rsidRPr="00A05342">
        <w:lastRenderedPageBreak/>
        <w:t xml:space="preserve">disabilities because of the lack of personal contact with administration and instructors. During digital learning environments, special attention will need to be paid to how education happens for regular students and those with learning disabilities. </w:t>
      </w:r>
    </w:p>
    <w:p w14:paraId="5E1086AA" w14:textId="42BD54DC" w:rsidR="00706789" w:rsidRPr="00A05342" w:rsidRDefault="00706789" w:rsidP="002E7415">
      <w:pPr>
        <w:spacing w:before="120" w:line="480" w:lineRule="auto"/>
        <w:jc w:val="center"/>
        <w:rPr>
          <w:b/>
          <w:bCs/>
        </w:rPr>
      </w:pPr>
      <w:r w:rsidRPr="00A05342">
        <w:rPr>
          <w:b/>
          <w:bCs/>
        </w:rPr>
        <w:t>Digital Education Environments</w:t>
      </w:r>
    </w:p>
    <w:p w14:paraId="09448583" w14:textId="35C7AE17" w:rsidR="00706789" w:rsidRPr="00A05342" w:rsidRDefault="00706789" w:rsidP="00667EC1">
      <w:pPr>
        <w:spacing w:line="480" w:lineRule="auto"/>
        <w:ind w:firstLine="720"/>
      </w:pPr>
      <w:r w:rsidRPr="00A05342">
        <w:t>Digital learning environments are a reality of today’s educational landscape. DLEs were present before the spring of 2020 but are even more prevalent today after institutes of higher education had to move to strictly online classes during the Covid pandemic.</w:t>
      </w:r>
      <w:r w:rsidRPr="00A05342">
        <w:rPr>
          <w:rStyle w:val="EndnoteReference"/>
        </w:rPr>
        <w:endnoteReference w:id="70"/>
      </w:r>
      <w:r w:rsidR="000B502B">
        <w:t>[70]</w:t>
      </w:r>
      <w:r w:rsidRPr="00A05342">
        <w:t xml:space="preserve"> Most of society has received a crash course in learning through digital learning environments during the pandemic, but many do not know that this was not a recent trend. Distance learning has been present for almost a century, with digital learning environments being an almost 40-year-old subset as part of the larger distance learning category. </w:t>
      </w:r>
      <w:r w:rsidRPr="00A05342">
        <w:rPr>
          <w:rStyle w:val="EndnoteReference"/>
        </w:rPr>
        <w:endnoteReference w:id="71"/>
      </w:r>
      <w:r w:rsidR="000B502B">
        <w:t>[71]</w:t>
      </w:r>
      <w:r w:rsidRPr="00A05342">
        <w:t xml:space="preserve">  </w:t>
      </w:r>
    </w:p>
    <w:p w14:paraId="17246D66" w14:textId="54AD22BE" w:rsidR="00706789" w:rsidRPr="00A05342" w:rsidRDefault="00706789" w:rsidP="00667EC1">
      <w:pPr>
        <w:spacing w:line="480" w:lineRule="auto"/>
        <w:ind w:firstLine="720"/>
      </w:pPr>
      <w:r w:rsidRPr="00A05342">
        <w:t xml:space="preserve">Digital learning in higher education has changed immensely over the last forty years. The roots of digital learning environments can be found in first half of the </w:t>
      </w:r>
      <w:r>
        <w:t>twentieth</w:t>
      </w:r>
      <w:r w:rsidRPr="00A05342">
        <w:t xml:space="preserve"> century, which was through correspondence courses. However, correspondence courses were just the beginning of distance education, not digital education. Digital education first entered the cultural milieu in the 1980s with the proliferation of computers in education. K-12 classrooms across the nation had access to a classroom computer, and higher education saw the proliferation of computer labs. However, this still was not the advent of digital learning environments; this was just the beginning of computer-mediated learning environments. Educational use of the internet was the true beginning of digital learning environments. These environments began as asynchronous </w:t>
      </w:r>
      <w:r w:rsidRPr="00A05342">
        <w:lastRenderedPageBreak/>
        <w:t>environments, where students accessed learning activities on-demand, but there was no ability to connect in real-time.</w:t>
      </w:r>
    </w:p>
    <w:p w14:paraId="0FF60FE0" w14:textId="71F9F846" w:rsidR="00706789" w:rsidRPr="00A05342" w:rsidRDefault="00706789" w:rsidP="00667EC1">
      <w:pPr>
        <w:spacing w:line="480" w:lineRule="auto"/>
        <w:ind w:firstLine="360"/>
      </w:pPr>
      <w:r w:rsidRPr="00A05342">
        <w:tab/>
        <w:t>Digital learning environments are designed for content to be delivered to students who are not physically present in the classroom for effective learning to happen. Educators should carefully consider engaging in any educational environment with students without a clearly defined pedagogy for digital learning environments. These learning environments that happen in digital spaces have seen a rise in the creation of digital-specific philosophies of education.</w:t>
      </w:r>
      <w:r w:rsidRPr="00A05342">
        <w:rPr>
          <w:rStyle w:val="EndnoteReference"/>
        </w:rPr>
        <w:endnoteReference w:id="72"/>
      </w:r>
      <w:r w:rsidR="000B502B">
        <w:t>[72]</w:t>
      </w:r>
      <w:r w:rsidRPr="00A05342">
        <w:t xml:space="preserve"> The creation of digital-specific pedagogical frameworks is also </w:t>
      </w:r>
      <w:r>
        <w:t>true</w:t>
      </w:r>
      <w:r w:rsidRPr="00A05342">
        <w:t xml:space="preserve"> of Christian higher education.</w:t>
      </w:r>
      <w:r>
        <w:rPr>
          <w:rStyle w:val="EndnoteReference"/>
        </w:rPr>
        <w:endnoteReference w:id="73"/>
      </w:r>
      <w:r w:rsidR="000B502B">
        <w:t>[73]</w:t>
      </w:r>
    </w:p>
    <w:p w14:paraId="1B586AE2" w14:textId="14DC3533" w:rsidR="00706789" w:rsidRPr="00A05342" w:rsidRDefault="00706789" w:rsidP="00667EC1">
      <w:pPr>
        <w:spacing w:line="480" w:lineRule="auto"/>
      </w:pPr>
      <w:r w:rsidRPr="00A05342">
        <w:tab/>
        <w:t>Educational research into neuroscience and digital learning environments have been combined to create new methods of engaging higher education students in learning. However, despite these new paradigms of digital learning, the equality of accessibility and accommodations that are legislated for in the IDEA are still present to ensure that students with learning disabilities have access to equal learning.</w:t>
      </w:r>
      <w:r w:rsidRPr="00A05342">
        <w:rPr>
          <w:rStyle w:val="EndnoteReference"/>
        </w:rPr>
        <w:endnoteReference w:id="74"/>
      </w:r>
      <w:r w:rsidR="000B502B">
        <w:t>[74]</w:t>
      </w:r>
      <w:r w:rsidRPr="00A05342">
        <w:t xml:space="preserve"> This access to equal learning is a goal of educators that are designing digital learning environments. The students with learning disabilities will experience both barriers and benefits to engaging in digital learning. The benefits and barriers can simultaneously be present in the same digital learning environment, dependent on the specific type of disability present in the student. However, these benefits and barriers can broadly be explained across a wide variety of learning disabilities. This way, the application of equality of education and accommodations made for specific learning disabilities can also be broadly explained, despite the varied nature of learning disabilities. </w:t>
      </w:r>
    </w:p>
    <w:p w14:paraId="423AE0B3" w14:textId="4DC64C27" w:rsidR="00706789" w:rsidRPr="00A05342" w:rsidRDefault="00706789" w:rsidP="002E7415">
      <w:pPr>
        <w:spacing w:before="120" w:line="480" w:lineRule="auto"/>
        <w:jc w:val="center"/>
      </w:pPr>
      <w:r>
        <w:rPr>
          <w:b/>
          <w:bCs/>
        </w:rPr>
        <w:t>Digital Barriers and Learning Disabilities</w:t>
      </w:r>
    </w:p>
    <w:p w14:paraId="750552FA" w14:textId="55AAEB22" w:rsidR="00706789" w:rsidRPr="00A05342" w:rsidRDefault="00706789" w:rsidP="00667EC1">
      <w:pPr>
        <w:spacing w:line="480" w:lineRule="auto"/>
        <w:ind w:firstLine="720"/>
        <w:rPr>
          <w:color w:val="000000" w:themeColor="text1"/>
        </w:rPr>
      </w:pPr>
      <w:r w:rsidRPr="00A05342">
        <w:rPr>
          <w:color w:val="000000" w:themeColor="text1"/>
        </w:rPr>
        <w:lastRenderedPageBreak/>
        <w:t xml:space="preserve">The proliferation of digital learning environments has increased accessibility for the traditional higher education student, but equality must be raised when discussing </w:t>
      </w:r>
      <w:r>
        <w:rPr>
          <w:color w:val="000000" w:themeColor="text1"/>
        </w:rPr>
        <w:t>the barriers inherent for student with learning disabilities</w:t>
      </w:r>
      <w:r w:rsidRPr="00A05342">
        <w:rPr>
          <w:color w:val="000000" w:themeColor="text1"/>
        </w:rPr>
        <w:t>. For example, during the Covid-19 pandemic, data from the U.S. census bureau showed an accessibility gap in access to technology and access to internet connectivity for students in lower-income brackets.</w:t>
      </w:r>
      <w:r w:rsidRPr="00A05342">
        <w:rPr>
          <w:rStyle w:val="EndnoteReference"/>
        </w:rPr>
        <w:endnoteReference w:id="75"/>
      </w:r>
      <w:r w:rsidR="000B502B">
        <w:rPr>
          <w:color w:val="000000" w:themeColor="text1"/>
        </w:rPr>
        <w:t>[75]</w:t>
      </w:r>
      <w:r w:rsidRPr="00A05342">
        <w:rPr>
          <w:color w:val="000000" w:themeColor="text1"/>
        </w:rPr>
        <w:t xml:space="preserve"> This gap in accessibility also presents itself when comparing traditional students with those students who have been diagnosed with one of the many types of learning disabilities. Each of the barriers that are discussed in the following paragraphs comes back to the issues of equality, accessibility, and accommodation. If Christian educators and higher education administrators believe that all students are "fearfully and wonderfully made," </w:t>
      </w:r>
      <w:r>
        <w:rPr>
          <w:color w:val="000000" w:themeColor="text1"/>
        </w:rPr>
        <w:t xml:space="preserve">in the </w:t>
      </w:r>
      <w:r>
        <w:rPr>
          <w:i/>
          <w:iCs/>
          <w:color w:val="000000" w:themeColor="text1"/>
        </w:rPr>
        <w:t xml:space="preserve">imago Dei </w:t>
      </w:r>
      <w:r w:rsidRPr="00A05342">
        <w:rPr>
          <w:color w:val="000000" w:themeColor="text1"/>
        </w:rPr>
        <w:t xml:space="preserve">then God has ordained that they must attempt to meet the educational needs and build bridges over learning barriers for students with equality </w:t>
      </w:r>
      <w:r>
        <w:rPr>
          <w:color w:val="000000" w:themeColor="text1"/>
        </w:rPr>
        <w:t xml:space="preserve">and access </w:t>
      </w:r>
      <w:r w:rsidRPr="00A05342">
        <w:rPr>
          <w:color w:val="000000" w:themeColor="text1"/>
        </w:rPr>
        <w:t xml:space="preserve">in mind. </w:t>
      </w:r>
    </w:p>
    <w:p w14:paraId="2D427910" w14:textId="6AC7F73F" w:rsidR="00706789" w:rsidRPr="006C5314" w:rsidRDefault="00706789" w:rsidP="00667EC1">
      <w:pPr>
        <w:spacing w:line="480" w:lineRule="auto"/>
        <w:ind w:firstLine="720"/>
        <w:rPr>
          <w:color w:val="000000" w:themeColor="text1"/>
        </w:rPr>
      </w:pPr>
      <w:r w:rsidRPr="006C5314">
        <w:rPr>
          <w:color w:val="000000" w:themeColor="text1"/>
        </w:rPr>
        <w:t xml:space="preserve">The study of </w:t>
      </w:r>
      <w:r>
        <w:rPr>
          <w:color w:val="000000" w:themeColor="text1"/>
        </w:rPr>
        <w:t xml:space="preserve">education and </w:t>
      </w:r>
      <w:r w:rsidRPr="006C5314">
        <w:rPr>
          <w:color w:val="000000" w:themeColor="text1"/>
        </w:rPr>
        <w:t>neuroscience informs the way educators guide students in learning. Higher education in digital formats, because of the adult students, lends itself to a more dynamic form of education through self-directed and independent learning.</w:t>
      </w:r>
      <w:r>
        <w:rPr>
          <w:rStyle w:val="EndnoteReference"/>
          <w:color w:val="000000" w:themeColor="text1"/>
        </w:rPr>
        <w:endnoteReference w:id="76"/>
      </w:r>
      <w:r w:rsidR="000B502B">
        <w:rPr>
          <w:color w:val="000000" w:themeColor="text1"/>
        </w:rPr>
        <w:t>[76]</w:t>
      </w:r>
      <w:r w:rsidRPr="006C5314">
        <w:rPr>
          <w:color w:val="000000" w:themeColor="text1"/>
        </w:rPr>
        <w:t xml:space="preserve"> However, learning disabilities can become barriers to learning because of the neurological differences present in most students diagnosed with learning disabilities. These barriers manifest themselves in three main categories in digital environments; self-advocacy, self-awareness, and self-management.</w:t>
      </w:r>
      <w:r w:rsidRPr="006C5314">
        <w:rPr>
          <w:rStyle w:val="EndnoteReference"/>
          <w:color w:val="000000" w:themeColor="text1"/>
        </w:rPr>
        <w:endnoteReference w:id="77"/>
      </w:r>
      <w:r w:rsidR="00A81FF0">
        <w:rPr>
          <w:color w:val="000000" w:themeColor="text1"/>
        </w:rPr>
        <w:t>[77]</w:t>
      </w:r>
      <w:r w:rsidRPr="006C5314">
        <w:rPr>
          <w:color w:val="000000" w:themeColor="text1"/>
        </w:rPr>
        <w:t xml:space="preserve"> Research has shown that most barriers for learning disabled students are intrinsic rather than extrinsic.</w:t>
      </w:r>
      <w:r>
        <w:rPr>
          <w:rStyle w:val="EndnoteReference"/>
          <w:color w:val="000000" w:themeColor="text1"/>
        </w:rPr>
        <w:endnoteReference w:id="78"/>
      </w:r>
      <w:r w:rsidR="00A81FF0">
        <w:rPr>
          <w:color w:val="000000" w:themeColor="text1"/>
        </w:rPr>
        <w:t>[78]</w:t>
      </w:r>
      <w:r w:rsidRPr="006C5314">
        <w:rPr>
          <w:color w:val="000000" w:themeColor="text1"/>
        </w:rPr>
        <w:t xml:space="preserve"> However, these barriers are accentuated in digital learning environments, separated physically from their peers and instructors. In the following paragraphs, these three categories will be </w:t>
      </w:r>
      <w:r w:rsidRPr="006C5314">
        <w:rPr>
          <w:color w:val="000000" w:themeColor="text1"/>
        </w:rPr>
        <w:lastRenderedPageBreak/>
        <w:t>discussed, emphasizing the specific barriers and their effect on practical and effective learning in digital environments.</w:t>
      </w:r>
    </w:p>
    <w:p w14:paraId="6CDDE9AB" w14:textId="02554226" w:rsidR="00706789" w:rsidRPr="002E7415" w:rsidRDefault="00706789" w:rsidP="002E7415">
      <w:pPr>
        <w:spacing w:line="480" w:lineRule="auto"/>
        <w:rPr>
          <w:b/>
          <w:bCs/>
          <w:color w:val="000000" w:themeColor="text1"/>
        </w:rPr>
      </w:pPr>
      <w:r w:rsidRPr="002E7415">
        <w:rPr>
          <w:b/>
          <w:bCs/>
          <w:color w:val="000000" w:themeColor="text1"/>
        </w:rPr>
        <w:t>Self-Management Barrier</w:t>
      </w:r>
    </w:p>
    <w:p w14:paraId="13F58BAB" w14:textId="3FC00EB1" w:rsidR="00706789" w:rsidRPr="00A05342" w:rsidRDefault="00706789" w:rsidP="00FD4CB0">
      <w:pPr>
        <w:spacing w:line="480" w:lineRule="auto"/>
        <w:ind w:firstLine="720"/>
        <w:rPr>
          <w:color w:val="FF0000"/>
        </w:rPr>
      </w:pPr>
      <w:r w:rsidRPr="00A05342">
        <w:rPr>
          <w:color w:val="000000" w:themeColor="text1"/>
        </w:rPr>
        <w:t>Self-management difficulties can be a way in which learning disabilities manifest themselves</w:t>
      </w:r>
      <w:r>
        <w:rPr>
          <w:color w:val="000000" w:themeColor="text1"/>
        </w:rPr>
        <w:t xml:space="preserve"> in the lives of students</w:t>
      </w:r>
      <w:r w:rsidRPr="00A05342">
        <w:rPr>
          <w:color w:val="000000" w:themeColor="text1"/>
        </w:rPr>
        <w:t>. A deficiency with self-management means that students struggle with making executive decisions for themselves concerning their learning.</w:t>
      </w:r>
      <w:r w:rsidRPr="00A05342">
        <w:rPr>
          <w:rStyle w:val="EndnoteReference"/>
        </w:rPr>
        <w:endnoteReference w:id="79"/>
      </w:r>
      <w:r w:rsidR="00A81FF0">
        <w:rPr>
          <w:color w:val="000000" w:themeColor="text1"/>
        </w:rPr>
        <w:t>[79]</w:t>
      </w:r>
      <w:r w:rsidRPr="00A05342">
        <w:rPr>
          <w:color w:val="000000" w:themeColor="text1"/>
        </w:rPr>
        <w:t xml:space="preserve"> This difficulty can be manifested as indecision, stress, and anxiety for the student attempting to make educational and personal decisions for themselves. In addition, research has</w:t>
      </w:r>
      <w:r>
        <w:rPr>
          <w:color w:val="000000" w:themeColor="text1"/>
        </w:rPr>
        <w:t xml:space="preserve"> demonstrated</w:t>
      </w:r>
      <w:r w:rsidRPr="00A05342">
        <w:rPr>
          <w:color w:val="000000" w:themeColor="text1"/>
        </w:rPr>
        <w:t xml:space="preserve"> that students with learning disabilities are more likely to struggle during their freshman year of college than students that do not have learning disabilities.</w:t>
      </w:r>
      <w:r w:rsidRPr="00A05342">
        <w:rPr>
          <w:rStyle w:val="EndnoteReference"/>
        </w:rPr>
        <w:endnoteReference w:id="80"/>
      </w:r>
      <w:r w:rsidR="00A81FF0">
        <w:rPr>
          <w:color w:val="000000" w:themeColor="text1"/>
        </w:rPr>
        <w:t>[80]</w:t>
      </w:r>
      <w:r w:rsidRPr="00A05342">
        <w:rPr>
          <w:color w:val="000000" w:themeColor="text1"/>
        </w:rPr>
        <w:t xml:space="preserve"> These struggles are enhanced during students' studies in higher education, especially digital learning environments because they are required to engage in a more independent form of learning as adults than they were required to do</w:t>
      </w:r>
      <w:r>
        <w:rPr>
          <w:color w:val="000000" w:themeColor="text1"/>
        </w:rPr>
        <w:t xml:space="preserve"> as children</w:t>
      </w:r>
      <w:r w:rsidRPr="00A05342">
        <w:rPr>
          <w:color w:val="000000" w:themeColor="text1"/>
        </w:rPr>
        <w:t>. This independence is exemplified through the student having to plan every aspect of their academic life; the need to schedule class</w:t>
      </w:r>
      <w:r>
        <w:rPr>
          <w:color w:val="000000" w:themeColor="text1"/>
        </w:rPr>
        <w:t>es</w:t>
      </w:r>
      <w:r w:rsidRPr="00A05342">
        <w:rPr>
          <w:color w:val="000000" w:themeColor="text1"/>
        </w:rPr>
        <w:t xml:space="preserve">, </w:t>
      </w:r>
      <w:r>
        <w:rPr>
          <w:color w:val="000000" w:themeColor="text1"/>
        </w:rPr>
        <w:t xml:space="preserve">time for </w:t>
      </w:r>
      <w:r w:rsidRPr="00A05342">
        <w:rPr>
          <w:color w:val="000000" w:themeColor="text1"/>
        </w:rPr>
        <w:t xml:space="preserve">study, </w:t>
      </w:r>
      <w:r>
        <w:rPr>
          <w:color w:val="000000" w:themeColor="text1"/>
        </w:rPr>
        <w:t xml:space="preserve">adequate </w:t>
      </w:r>
      <w:r w:rsidRPr="00A05342">
        <w:rPr>
          <w:color w:val="000000" w:themeColor="text1"/>
        </w:rPr>
        <w:t>sleep, and social time are all contributing factors. This independent learning required of higher education students engaged in digital learning is fraught with distractions. It is made worse through the lack of a physical connection with peers and instructors</w:t>
      </w:r>
      <w:r>
        <w:rPr>
          <w:color w:val="000000" w:themeColor="text1"/>
        </w:rPr>
        <w:t xml:space="preserve"> in digital environments</w:t>
      </w:r>
      <w:r w:rsidRPr="00A05342">
        <w:rPr>
          <w:color w:val="000000" w:themeColor="text1"/>
        </w:rPr>
        <w:t>.</w:t>
      </w:r>
      <w:r>
        <w:rPr>
          <w:color w:val="000000" w:themeColor="text1"/>
        </w:rPr>
        <w:t xml:space="preserve"> Learning disabled students struggle when left to manage their learning with little to no physical contact with peers and instructors.</w:t>
      </w:r>
      <w:r w:rsidRPr="00A05342">
        <w:rPr>
          <w:color w:val="FF0000"/>
        </w:rPr>
        <w:t xml:space="preserve">  </w:t>
      </w:r>
    </w:p>
    <w:p w14:paraId="76134579" w14:textId="43BEBB9F" w:rsidR="00706789" w:rsidRPr="002E7415" w:rsidRDefault="00706789" w:rsidP="002E7415">
      <w:pPr>
        <w:spacing w:line="480" w:lineRule="auto"/>
        <w:rPr>
          <w:b/>
          <w:bCs/>
          <w:color w:val="000000" w:themeColor="text1"/>
        </w:rPr>
      </w:pPr>
      <w:r w:rsidRPr="002E7415">
        <w:rPr>
          <w:b/>
          <w:bCs/>
          <w:color w:val="000000" w:themeColor="text1"/>
        </w:rPr>
        <w:t>Self-Awareness Barrier</w:t>
      </w:r>
    </w:p>
    <w:p w14:paraId="5C7BDFF2" w14:textId="55939EAB" w:rsidR="00706789" w:rsidRDefault="00706789" w:rsidP="00096DEC">
      <w:pPr>
        <w:spacing w:line="480" w:lineRule="auto"/>
        <w:ind w:firstLine="720"/>
        <w:rPr>
          <w:color w:val="000000" w:themeColor="text1"/>
        </w:rPr>
      </w:pPr>
      <w:r w:rsidRPr="008C49A2">
        <w:rPr>
          <w:color w:val="000000" w:themeColor="text1"/>
        </w:rPr>
        <w:t xml:space="preserve">Self-awareness can be another significant barrier to effective learning in digital learning environments. This awareness of self for students with learning disabilities is </w:t>
      </w:r>
      <w:r w:rsidRPr="008C49A2">
        <w:rPr>
          <w:color w:val="000000" w:themeColor="text1"/>
        </w:rPr>
        <w:lastRenderedPageBreak/>
        <w:t>simply knowing themselves and knowing how they best learn. This self-awareness involves knowing your strength, weaknesses, emotional tolerances, and anxieties.</w:t>
      </w:r>
      <w:r w:rsidRPr="008C49A2">
        <w:rPr>
          <w:rStyle w:val="EndnoteReference"/>
          <w:color w:val="000000" w:themeColor="text1"/>
        </w:rPr>
        <w:endnoteReference w:id="81"/>
      </w:r>
      <w:r w:rsidR="00A81FF0">
        <w:rPr>
          <w:color w:val="000000" w:themeColor="text1"/>
        </w:rPr>
        <w:t>[81]</w:t>
      </w:r>
      <w:r w:rsidRPr="008C49A2">
        <w:rPr>
          <w:color w:val="000000" w:themeColor="text1"/>
        </w:rPr>
        <w:t xml:space="preserve"> The issue inherent in this is that, depending on the students' primary and secondary school experiences, they may not know what they need to succeed as students when they reach the higher education classroom. Students, especially freshmen, face a brand-new world of learning without a road map to understand their directions. This road map should include goals for learning and themselves, but many students do not know where to begin setting these goals. The self-awareness barrier is also present because these students have been introduced into a new world with more freedom and distraction. If students do not know themselves, they can get lost to interests, diversions, or other adverse reactions to this disability, which are all antithetical to the learning process.</w:t>
      </w:r>
      <w:r w:rsidRPr="008C49A2">
        <w:rPr>
          <w:rStyle w:val="EndnoteReference"/>
          <w:color w:val="000000" w:themeColor="text1"/>
        </w:rPr>
        <w:endnoteReference w:id="82"/>
      </w:r>
      <w:r w:rsidR="00A81FF0">
        <w:rPr>
          <w:color w:val="000000" w:themeColor="text1"/>
        </w:rPr>
        <w:t>[82]</w:t>
      </w:r>
      <w:r w:rsidRPr="008C49A2">
        <w:rPr>
          <w:color w:val="000000" w:themeColor="text1"/>
        </w:rPr>
        <w:t xml:space="preserve"> </w:t>
      </w:r>
    </w:p>
    <w:p w14:paraId="39902E23" w14:textId="0322C301" w:rsidR="00706789" w:rsidRPr="002E7415" w:rsidRDefault="00706789" w:rsidP="002E7415">
      <w:pPr>
        <w:spacing w:line="480" w:lineRule="auto"/>
        <w:rPr>
          <w:b/>
          <w:bCs/>
          <w:color w:val="000000" w:themeColor="text1"/>
        </w:rPr>
      </w:pPr>
      <w:r w:rsidRPr="002E7415">
        <w:rPr>
          <w:b/>
          <w:bCs/>
          <w:color w:val="000000" w:themeColor="text1"/>
        </w:rPr>
        <w:t>Self-Advocacy Barrier</w:t>
      </w:r>
    </w:p>
    <w:p w14:paraId="1F1635A8" w14:textId="110FAFCA" w:rsidR="00706789" w:rsidRPr="00A05342" w:rsidRDefault="00706789" w:rsidP="00261F3A">
      <w:pPr>
        <w:spacing w:line="480" w:lineRule="auto"/>
        <w:ind w:firstLine="720"/>
        <w:rPr>
          <w:color w:val="FF0000"/>
        </w:rPr>
      </w:pPr>
      <w:r w:rsidRPr="008C49A2">
        <w:rPr>
          <w:color w:val="000000" w:themeColor="text1"/>
        </w:rPr>
        <w:t>Self-advocacy is another possible barrier to effective learning in digital learning environments. Students no longer have specified people in their school advocating on their behalf for accommodated learning; they must now advocate for themselves. This is why many students are silent about their disability when engaged in higher education classes.</w:t>
      </w:r>
      <w:r>
        <w:rPr>
          <w:rStyle w:val="EndnoteReference"/>
          <w:color w:val="000000" w:themeColor="text1"/>
        </w:rPr>
        <w:endnoteReference w:id="83"/>
      </w:r>
      <w:r w:rsidR="00A81FF0">
        <w:rPr>
          <w:color w:val="000000" w:themeColor="text1"/>
        </w:rPr>
        <w:t>[83]</w:t>
      </w:r>
      <w:r w:rsidRPr="008C49A2">
        <w:rPr>
          <w:color w:val="000000" w:themeColor="text1"/>
        </w:rPr>
        <w:t xml:space="preserve"> As a result, they have received ridicule, outright refusal to help, and confusion from classmates and instructors in the past.</w:t>
      </w:r>
      <w:r w:rsidRPr="008C49A2">
        <w:rPr>
          <w:rStyle w:val="EndnoteReference"/>
          <w:color w:val="000000" w:themeColor="text1"/>
        </w:rPr>
        <w:endnoteReference w:id="84"/>
      </w:r>
      <w:r w:rsidR="00A81FF0">
        <w:rPr>
          <w:color w:val="000000" w:themeColor="text1"/>
        </w:rPr>
        <w:t>[84]</w:t>
      </w:r>
      <w:r w:rsidRPr="008C49A2">
        <w:rPr>
          <w:color w:val="000000" w:themeColor="text1"/>
        </w:rPr>
        <w:t xml:space="preserve"> They are aware that many college instructors have never been trained on how to accommodate those with learning disabilities. Because of this lack of training, they are afraid to broach the subject with instructors.</w:t>
      </w:r>
      <w:r w:rsidRPr="008C49A2">
        <w:rPr>
          <w:rStyle w:val="EndnoteReference"/>
          <w:color w:val="000000" w:themeColor="text1"/>
        </w:rPr>
        <w:endnoteReference w:id="85"/>
      </w:r>
      <w:r w:rsidR="00A81FF0">
        <w:rPr>
          <w:color w:val="000000" w:themeColor="text1"/>
        </w:rPr>
        <w:t>[85]</w:t>
      </w:r>
      <w:r w:rsidRPr="008C49A2">
        <w:rPr>
          <w:color w:val="000000" w:themeColor="text1"/>
        </w:rPr>
        <w:t xml:space="preserve"> They were aware of their need and engaging in digital learning environments, meaning that these students could not meet face-to-face with someone in the student services office.</w:t>
      </w:r>
      <w:r w:rsidRPr="008C49A2">
        <w:rPr>
          <w:rStyle w:val="EndnoteReference"/>
          <w:color w:val="000000" w:themeColor="text1"/>
        </w:rPr>
        <w:endnoteReference w:id="86"/>
      </w:r>
      <w:r w:rsidR="00A81FF0">
        <w:rPr>
          <w:color w:val="000000" w:themeColor="text1"/>
        </w:rPr>
        <w:t>[86]</w:t>
      </w:r>
      <w:r w:rsidRPr="008C49A2">
        <w:rPr>
          <w:color w:val="000000" w:themeColor="text1"/>
        </w:rPr>
        <w:t xml:space="preserve"> Higher education students engaged in digital learning </w:t>
      </w:r>
      <w:r w:rsidRPr="008C49A2">
        <w:rPr>
          <w:color w:val="000000" w:themeColor="text1"/>
        </w:rPr>
        <w:lastRenderedPageBreak/>
        <w:t>find being aware of themselves and how others perceive them as a possible barrier to effective learning.</w:t>
      </w:r>
    </w:p>
    <w:p w14:paraId="1B948C74" w14:textId="7BA96E0B" w:rsidR="00706789" w:rsidRPr="002E7415" w:rsidRDefault="00706789" w:rsidP="002E7415">
      <w:pPr>
        <w:spacing w:line="480" w:lineRule="auto"/>
        <w:rPr>
          <w:b/>
          <w:bCs/>
          <w:color w:val="000000" w:themeColor="text1"/>
        </w:rPr>
      </w:pPr>
      <w:r w:rsidRPr="002E7415">
        <w:rPr>
          <w:b/>
          <w:bCs/>
          <w:color w:val="000000" w:themeColor="text1"/>
        </w:rPr>
        <w:t>Emotional and Psychological Barriers</w:t>
      </w:r>
    </w:p>
    <w:p w14:paraId="3C641710" w14:textId="3DE06317" w:rsidR="00706789" w:rsidRPr="00A05342" w:rsidRDefault="00706789" w:rsidP="005D5082">
      <w:pPr>
        <w:spacing w:line="480" w:lineRule="auto"/>
        <w:ind w:firstLine="720"/>
      </w:pPr>
      <w:r w:rsidRPr="00A05342">
        <w:rPr>
          <w:color w:val="000000" w:themeColor="text1"/>
        </w:rPr>
        <w:t>The stress involved in learning in a traditional classroom is multiplied when attempting to learn in a digital environment with a teacher that is only present through a learning management system and videos, whether synchronous or asynchronous. In addition, these teachers may not know that the student has a learning disability unless the student chooses to disclose this disability to the instructor.</w:t>
      </w:r>
      <w:r w:rsidRPr="00A05342">
        <w:rPr>
          <w:rStyle w:val="EndnoteReference"/>
        </w:rPr>
        <w:endnoteReference w:id="87"/>
      </w:r>
      <w:r w:rsidR="00A81FF0">
        <w:rPr>
          <w:color w:val="000000" w:themeColor="text1"/>
        </w:rPr>
        <w:t>[87]</w:t>
      </w:r>
      <w:r w:rsidRPr="00A05342">
        <w:rPr>
          <w:color w:val="000000" w:themeColor="text1"/>
        </w:rPr>
        <w:t xml:space="preserve"> Learning disabled students involved in digital learning environments deal with an increased level of stress and a decided decrease in their view of personal success. The emotional and psychological weight of a sense of disappointment and lack of success has been proven through research to be present in all students with learning disabilities.</w:t>
      </w:r>
      <w:r>
        <w:rPr>
          <w:rStyle w:val="EndnoteReference"/>
          <w:color w:val="000000" w:themeColor="text1"/>
        </w:rPr>
        <w:endnoteReference w:id="88"/>
      </w:r>
      <w:r w:rsidR="00A81FF0">
        <w:rPr>
          <w:color w:val="000000" w:themeColor="text1"/>
        </w:rPr>
        <w:t>[88]</w:t>
      </w:r>
      <w:r w:rsidRPr="00A05342">
        <w:rPr>
          <w:color w:val="000000" w:themeColor="text1"/>
        </w:rPr>
        <w:t xml:space="preserve"> </w:t>
      </w:r>
    </w:p>
    <w:p w14:paraId="6E751FDC" w14:textId="2B53C3F3" w:rsidR="00706789" w:rsidRPr="00A05342" w:rsidRDefault="00706789" w:rsidP="00724152">
      <w:pPr>
        <w:spacing w:before="120" w:after="120"/>
        <w:jc w:val="center"/>
      </w:pPr>
      <w:r w:rsidRPr="00A05342">
        <w:rPr>
          <w:b/>
          <w:bCs/>
        </w:rPr>
        <w:t>Overcoming Barriers to Effective Learning</w:t>
      </w:r>
    </w:p>
    <w:p w14:paraId="4D68EF30" w14:textId="4D078AAC" w:rsidR="00706789" w:rsidRPr="002E7415" w:rsidRDefault="00706789" w:rsidP="002E7415">
      <w:pPr>
        <w:spacing w:line="480" w:lineRule="auto"/>
        <w:ind w:firstLine="720"/>
      </w:pPr>
      <w:r w:rsidRPr="00A05342">
        <w:t xml:space="preserve">The preceding section has focused on the barriers to effective learning inherent with learning disabled students engaged in digital learning environments in higher education. However insurmountable the barriers to learning may seem, most can be overcome for those with learning disabilities. Proper coaching and preparation can overcome many barriers, but there needs to be a sense </w:t>
      </w:r>
      <w:r>
        <w:t xml:space="preserve">of perseverance and the knowledge of the ability to overcome </w:t>
      </w:r>
      <w:r w:rsidRPr="00A05342">
        <w:t xml:space="preserve">for digital students with learning disabilities. There are some inherent benefits for these digital students as well as definitive ways to overcome these barriers. </w:t>
      </w:r>
    </w:p>
    <w:p w14:paraId="06DD2297" w14:textId="23354370" w:rsidR="00706789" w:rsidRPr="00724152" w:rsidRDefault="00706789" w:rsidP="00724152">
      <w:pPr>
        <w:spacing w:line="480" w:lineRule="auto"/>
        <w:rPr>
          <w:b/>
          <w:bCs/>
        </w:rPr>
      </w:pPr>
      <w:r w:rsidRPr="00724152">
        <w:rPr>
          <w:b/>
          <w:bCs/>
        </w:rPr>
        <w:t>Student Directed Learning</w:t>
      </w:r>
    </w:p>
    <w:p w14:paraId="7A32406B" w14:textId="1C8AB4B6" w:rsidR="00706789" w:rsidRDefault="00706789" w:rsidP="008A0A9E">
      <w:pPr>
        <w:spacing w:line="480" w:lineRule="auto"/>
        <w:ind w:firstLine="720"/>
        <w:rPr>
          <w:b/>
          <w:bCs/>
        </w:rPr>
      </w:pPr>
      <w:r w:rsidRPr="00A05342">
        <w:t>Student-directed learning may seem to be a barrier for those that struggle with learning disabilities when engaged in digital learning environments.</w:t>
      </w:r>
      <w:r w:rsidRPr="00A05342">
        <w:rPr>
          <w:rStyle w:val="EndnoteReference"/>
        </w:rPr>
        <w:endnoteReference w:id="89"/>
      </w:r>
      <w:r w:rsidR="00A81FF0">
        <w:t>[89]</w:t>
      </w:r>
      <w:r>
        <w:t xml:space="preserve"> S</w:t>
      </w:r>
      <w:r w:rsidRPr="00A05342">
        <w:t>tudents</w:t>
      </w:r>
      <w:r>
        <w:t xml:space="preserve"> </w:t>
      </w:r>
      <w:r>
        <w:lastRenderedPageBreak/>
        <w:t>engage in DLEs</w:t>
      </w:r>
      <w:r w:rsidRPr="00A05342">
        <w:t xml:space="preserve"> are allowed to direct their learning and are given more freedom to advocate for themselves and the accommodations they need to learn effectively.</w:t>
      </w:r>
      <w:r w:rsidRPr="00A05342">
        <w:rPr>
          <w:rStyle w:val="EndnoteReference"/>
        </w:rPr>
        <w:endnoteReference w:id="90"/>
      </w:r>
      <w:r w:rsidR="00A81FF0">
        <w:t>[90]</w:t>
      </w:r>
      <w:r w:rsidRPr="00A05342">
        <w:t xml:space="preserve"> Digital learning environments allow students to assess the assigned work and develop a plan to complete this assignment. However, this can be difficult for students with severe neurological disabilities because every student and their learning disabilities are unique.</w:t>
      </w:r>
      <w:r w:rsidRPr="00A05342">
        <w:rPr>
          <w:rStyle w:val="EndnoteReference"/>
        </w:rPr>
        <w:endnoteReference w:id="91"/>
      </w:r>
      <w:r w:rsidR="00A81FF0">
        <w:t>[91]</w:t>
      </w:r>
      <w:r w:rsidRPr="00A05342">
        <w:t xml:space="preserve"> However, this allows students not just to learn the content for the class but also to </w:t>
      </w:r>
      <w:r>
        <w:t>structure their learning in way that promotes effective neuronal connections</w:t>
      </w:r>
      <w:r w:rsidRPr="00A05342">
        <w:t>.</w:t>
      </w:r>
      <w:r>
        <w:rPr>
          <w:rStyle w:val="EndnoteReference"/>
        </w:rPr>
        <w:endnoteReference w:id="92"/>
      </w:r>
      <w:r w:rsidR="00A81FF0">
        <w:t>[92]</w:t>
      </w:r>
      <w:r w:rsidRPr="00A05342">
        <w:t xml:space="preserve"> As these students become adults, they must learn the skills to be practical students, whether it is a physical, hybrid, or digital learning environment.</w:t>
      </w:r>
      <w:r w:rsidRPr="00A05342">
        <w:rPr>
          <w:rStyle w:val="EndnoteReference"/>
        </w:rPr>
        <w:endnoteReference w:id="93"/>
      </w:r>
      <w:r w:rsidR="00A81FF0">
        <w:t>[93]</w:t>
      </w:r>
      <w:r w:rsidRPr="00A05342">
        <w:t xml:space="preserve"> </w:t>
      </w:r>
    </w:p>
    <w:p w14:paraId="316D696B" w14:textId="358CEB79" w:rsidR="00706789" w:rsidRPr="002E7415" w:rsidRDefault="00706789" w:rsidP="002E7415">
      <w:pPr>
        <w:spacing w:line="480" w:lineRule="auto"/>
        <w:rPr>
          <w:b/>
          <w:bCs/>
        </w:rPr>
      </w:pPr>
      <w:r w:rsidRPr="002E7415">
        <w:rPr>
          <w:b/>
          <w:bCs/>
        </w:rPr>
        <w:t>Use of Educational Tools</w:t>
      </w:r>
    </w:p>
    <w:p w14:paraId="3E505EDE" w14:textId="68379C36" w:rsidR="00706789" w:rsidRPr="00A05342" w:rsidRDefault="00706789" w:rsidP="00667EC1">
      <w:pPr>
        <w:spacing w:line="480" w:lineRule="auto"/>
        <w:ind w:firstLine="720"/>
        <w:rPr>
          <w:color w:val="000000" w:themeColor="text1"/>
        </w:rPr>
      </w:pPr>
      <w:r w:rsidRPr="00A05342">
        <w:t xml:space="preserve">Students must learn </w:t>
      </w:r>
      <w:r>
        <w:t xml:space="preserve">to use educational </w:t>
      </w:r>
      <w:r w:rsidRPr="00A05342">
        <w:t xml:space="preserve">tools </w:t>
      </w:r>
      <w:r>
        <w:t xml:space="preserve">effectively </w:t>
      </w:r>
      <w:r w:rsidRPr="00A05342">
        <w:t>to be more effective learners. This learning of tools must be evident in how students learn to deal with friction in their learning. So, how does a learning disabled student develop a plan to overcome learning difficulty?</w:t>
      </w:r>
      <w:r w:rsidRPr="00A05342">
        <w:rPr>
          <w:rStyle w:val="EndnoteReference"/>
        </w:rPr>
        <w:endnoteReference w:id="94"/>
      </w:r>
      <w:r w:rsidR="00A81FF0">
        <w:t>[94]</w:t>
      </w:r>
      <w:r w:rsidRPr="00A05342">
        <w:t xml:space="preserve"> In higher education, it becomes easier for students to electronically communi</w:t>
      </w:r>
      <w:r>
        <w:t>cate</w:t>
      </w:r>
      <w:r w:rsidRPr="00A05342">
        <w:t xml:space="preserve"> with their instructor and peers through various means; video chat, LMS messages, email, text, among others, to communicate their learning disability, discuss accommodations, and develop a plan and goals for effective learning.</w:t>
      </w:r>
      <w:r w:rsidRPr="00A05342">
        <w:rPr>
          <w:rStyle w:val="EndnoteReference"/>
        </w:rPr>
        <w:endnoteReference w:id="95"/>
      </w:r>
      <w:r w:rsidR="00A81FF0">
        <w:t>[95]</w:t>
      </w:r>
      <w:r w:rsidRPr="00A05342">
        <w:t xml:space="preserve"> The student and instructor can develop a joint plan and goals for success that reduces the friction caused by the learning disability and leads to student success.</w:t>
      </w:r>
      <w:r w:rsidRPr="00A05342">
        <w:rPr>
          <w:rStyle w:val="EndnoteReference"/>
        </w:rPr>
        <w:endnoteReference w:id="96"/>
      </w:r>
      <w:r w:rsidR="00A81FF0">
        <w:t>[96]</w:t>
      </w:r>
      <w:r w:rsidRPr="00A05342">
        <w:t xml:space="preserve"> </w:t>
      </w:r>
      <w:r w:rsidRPr="00A05342">
        <w:rPr>
          <w:color w:val="000000" w:themeColor="text1"/>
        </w:rPr>
        <w:t xml:space="preserve">Developing these plans and goals also leads to a sense of accomplishment and self-worth for those with learning disabilities.  </w:t>
      </w:r>
    </w:p>
    <w:p w14:paraId="2920DCAC" w14:textId="48309336" w:rsidR="00706789" w:rsidRPr="00A05342" w:rsidRDefault="00706789" w:rsidP="00667EC1">
      <w:pPr>
        <w:spacing w:line="480" w:lineRule="auto"/>
        <w:ind w:firstLine="720"/>
      </w:pPr>
      <w:r w:rsidRPr="00A05342">
        <w:t xml:space="preserve">Accessibility </w:t>
      </w:r>
      <w:r>
        <w:t>through</w:t>
      </w:r>
      <w:r w:rsidRPr="00A05342">
        <w:t xml:space="preserve"> technology </w:t>
      </w:r>
      <w:r>
        <w:t xml:space="preserve">aids in </w:t>
      </w:r>
      <w:r w:rsidRPr="00A05342">
        <w:t>effective learning that is improved through digital learning environments.</w:t>
      </w:r>
      <w:r w:rsidRPr="00A05342">
        <w:rPr>
          <w:rStyle w:val="EndnoteReference"/>
        </w:rPr>
        <w:endnoteReference w:id="97"/>
      </w:r>
      <w:r w:rsidR="00A81FF0">
        <w:t>[97]</w:t>
      </w:r>
      <w:r w:rsidRPr="00A05342">
        <w:t xml:space="preserve"> Digital learning environments allow </w:t>
      </w:r>
      <w:r w:rsidRPr="00A05342">
        <w:lastRenderedPageBreak/>
        <w:t>instructors to deploy technological solutions that meet each learning disability where there is learning fiction and help to smooth the learning process. However, instructors must be willing to work with students to design accommodations that work.</w:t>
      </w:r>
      <w:r w:rsidRPr="00A05342">
        <w:rPr>
          <w:rStyle w:val="EndnoteReference"/>
        </w:rPr>
        <w:endnoteReference w:id="98"/>
      </w:r>
      <w:r w:rsidR="00A81FF0">
        <w:t>[98]</w:t>
      </w:r>
      <w:r>
        <w:t xml:space="preserve"> </w:t>
      </w:r>
      <w:r w:rsidRPr="00A05342">
        <w:t>Technologies that aid students with learning disabilities can be simple. Examples include a student with dysgraphia being able to type all of their work on a keyboard instead of writing. It could be as complex as a program that audibly reads all print words on a screen for a student who suffers from an auditory or visual processing disability.</w:t>
      </w:r>
      <w:r w:rsidRPr="00A05342">
        <w:rPr>
          <w:rStyle w:val="EndnoteReference"/>
        </w:rPr>
        <w:endnoteReference w:id="99"/>
      </w:r>
      <w:r w:rsidR="00A81FF0">
        <w:t>[99]</w:t>
      </w:r>
      <w:r w:rsidRPr="00A05342">
        <w:t xml:space="preserve"> Technology can seem daunting, but if applied correctly, it can effectively aid students in learning that is more permanent and reduce the stress of navigating accommodations for learning disabilities. </w:t>
      </w:r>
    </w:p>
    <w:p w14:paraId="59E8DDA8" w14:textId="6BB977B8" w:rsidR="00706789" w:rsidRPr="002E7415" w:rsidRDefault="00706789" w:rsidP="002E7415">
      <w:pPr>
        <w:spacing w:line="480" w:lineRule="auto"/>
        <w:rPr>
          <w:b/>
          <w:bCs/>
        </w:rPr>
      </w:pPr>
      <w:r w:rsidRPr="002E7415">
        <w:rPr>
          <w:b/>
          <w:bCs/>
        </w:rPr>
        <w:t>Customization of Learning</w:t>
      </w:r>
    </w:p>
    <w:p w14:paraId="76F5C102" w14:textId="02025D81" w:rsidR="00706789" w:rsidRPr="00A05342" w:rsidRDefault="00706789" w:rsidP="00667EC1">
      <w:pPr>
        <w:spacing w:line="480" w:lineRule="auto"/>
        <w:ind w:firstLine="720"/>
      </w:pPr>
      <w:r w:rsidRPr="00A05342">
        <w:t>Effective learning for students engaged in digital learning environments also benefits from the customizable nature of learning in these environments.</w:t>
      </w:r>
      <w:r w:rsidRPr="00A05342">
        <w:rPr>
          <w:rStyle w:val="EndnoteReference"/>
        </w:rPr>
        <w:endnoteReference w:id="100"/>
      </w:r>
      <w:r w:rsidR="00A81FF0">
        <w:t>[100]</w:t>
      </w:r>
      <w:r w:rsidRPr="00A05342">
        <w:t xml:space="preserve"> Adult learners should be more independent and able to set their own learning pace; however, this process can be interrupted and prolonged through learning disabilities. Therefore, effective learning in digital environments must be thought of as customizable in order for the learning to be compelling indeed.</w:t>
      </w:r>
      <w:r>
        <w:rPr>
          <w:rStyle w:val="EndnoteReference"/>
        </w:rPr>
        <w:endnoteReference w:id="101"/>
      </w:r>
      <w:r w:rsidR="00A81FF0">
        <w:t>[101]</w:t>
      </w:r>
      <w:r w:rsidRPr="00A05342">
        <w:t xml:space="preserve"> An example of this customizability is the differences between synchronous and asynchronous and a learning-disabled student being able to pick when they engage with online learning activities for a specific class.</w:t>
      </w:r>
      <w:r w:rsidRPr="00A05342">
        <w:rPr>
          <w:rStyle w:val="EndnoteReference"/>
        </w:rPr>
        <w:endnoteReference w:id="102"/>
      </w:r>
      <w:r w:rsidR="00A81FF0">
        <w:t>[102]</w:t>
      </w:r>
      <w:r w:rsidRPr="00A05342">
        <w:t xml:space="preserve"> This concept does not mean that students can decide what assignments outlined on the course syllabus are necessary and which are optional. However, it allows students with learning disabilities to customize how and when they access learning content in order to maximize the potential for effective learning.</w:t>
      </w:r>
      <w:r>
        <w:t xml:space="preserve"> </w:t>
      </w:r>
      <w:r w:rsidRPr="00A05342">
        <w:t xml:space="preserve"> </w:t>
      </w:r>
    </w:p>
    <w:p w14:paraId="5EDEC65F" w14:textId="1DB8FC1F" w:rsidR="00706789" w:rsidRPr="00A05342" w:rsidRDefault="00706789" w:rsidP="00667EC1">
      <w:pPr>
        <w:spacing w:line="480" w:lineRule="auto"/>
        <w:ind w:firstLine="720"/>
      </w:pPr>
      <w:r w:rsidRPr="00A05342">
        <w:lastRenderedPageBreak/>
        <w:t>A student's ability to customize the learning process in digital environments simply means that students have more flexibility in setting schedules, connecting with other students, and connecting with their instructors.</w:t>
      </w:r>
      <w:r w:rsidRPr="00A05342">
        <w:rPr>
          <w:rStyle w:val="EndnoteReference"/>
        </w:rPr>
        <w:endnoteReference w:id="103"/>
      </w:r>
      <w:r w:rsidR="00A81FF0">
        <w:t>[103]</w:t>
      </w:r>
      <w:r w:rsidRPr="00A05342">
        <w:t xml:space="preserve"> Students must learn how to prioritize their time and be diligent in scheduling learning tasks that are individual tasks. Students al</w:t>
      </w:r>
      <w:r>
        <w:t xml:space="preserve">so can </w:t>
      </w:r>
      <w:r w:rsidRPr="00A05342">
        <w:t xml:space="preserve">reduce distractions </w:t>
      </w:r>
      <w:r>
        <w:t>by</w:t>
      </w:r>
      <w:r w:rsidRPr="00A05342">
        <w:t xml:space="preserve"> engaging </w:t>
      </w:r>
      <w:r>
        <w:t>in</w:t>
      </w:r>
      <w:r w:rsidRPr="00A05342">
        <w:t xml:space="preserve"> digital classrooms instead of traditional classrooms. Without the distraction of other students, those students with learning disabilities can more easily focus on practical learning. However, research has shown that synchronous video learning is more difficult for the brain to encode learning and focus on the task at hand. This difficulty can be ameliorated through interleaving learning and practice and instructors using various learning tasks, both individual and group, to foster effective learning. Students and instructors must also be willing to connect outside of the digital classroom. One of the most significant benefits of digital learning is that there are fewer boundaries and time constraints for connecting between student and teacher.</w:t>
      </w:r>
      <w:r>
        <w:rPr>
          <w:rStyle w:val="EndnoteReference"/>
        </w:rPr>
        <w:endnoteReference w:id="104"/>
      </w:r>
      <w:r w:rsidR="00A81FF0">
        <w:t>[104]</w:t>
      </w:r>
      <w:r w:rsidRPr="00A05342">
        <w:t xml:space="preserve"> For many students, this connection is not sought out, as digital learning environments can feel isolating. Students with learning disabilities many times will choose to stay anonymous and not disclose their disability or ask for accommodations.</w:t>
      </w:r>
      <w:r w:rsidRPr="00A05342">
        <w:rPr>
          <w:rStyle w:val="EndnoteReference"/>
        </w:rPr>
        <w:endnoteReference w:id="105"/>
      </w:r>
      <w:r w:rsidR="00A81FF0">
        <w:t>[105]</w:t>
      </w:r>
      <w:r w:rsidRPr="00A05342">
        <w:t xml:space="preserve"> However, </w:t>
      </w:r>
      <w:r>
        <w:t xml:space="preserve">not only should </w:t>
      </w:r>
      <w:r w:rsidRPr="00A05342">
        <w:t xml:space="preserve">instructors advocate for learning, but they should also desire to see a connection to be made with students, especially those with learning disabilities. This connecting between student and instructor can lead to a smoother accommodation process and more effective learning. </w:t>
      </w:r>
    </w:p>
    <w:p w14:paraId="79ABBD9D" w14:textId="6177E25E" w:rsidR="00706789" w:rsidRPr="002F57C0" w:rsidRDefault="00706789" w:rsidP="002F57C0">
      <w:pPr>
        <w:spacing w:before="120" w:line="480" w:lineRule="auto"/>
        <w:jc w:val="center"/>
        <w:rPr>
          <w:b/>
          <w:bCs/>
        </w:rPr>
      </w:pPr>
      <w:r w:rsidRPr="00A05342">
        <w:rPr>
          <w:b/>
          <w:bCs/>
        </w:rPr>
        <w:t>Conclusion</w:t>
      </w:r>
    </w:p>
    <w:p w14:paraId="78BA433E" w14:textId="4C31440A" w:rsidR="00706789" w:rsidRDefault="00706789" w:rsidP="00A2622C">
      <w:pPr>
        <w:spacing w:line="480" w:lineRule="auto"/>
        <w:ind w:firstLine="720"/>
      </w:pPr>
      <w:r w:rsidRPr="00A05342">
        <w:t xml:space="preserve">The confluence of neuroscience </w:t>
      </w:r>
      <w:r>
        <w:t xml:space="preserve">and </w:t>
      </w:r>
      <w:r w:rsidRPr="00A05342">
        <w:t xml:space="preserve">educational research, digital learning environments, and students with learning disabilities do not need to be a relationship </w:t>
      </w:r>
      <w:r w:rsidRPr="00A05342">
        <w:lastRenderedPageBreak/>
        <w:t xml:space="preserve">fraught with peril and angst. Neuroscience educational research informs how students, both traditional and those with learning disabilities, are effectively taught and how they effectively learn. When applied to digital learning environments, these research-informed teaching and learning principles provide both educators and students with the tools to make digital learning effective. However, injecting students with learning disabilities into the digital higher education classroom is hardly a relationship without peril. </w:t>
      </w:r>
      <w:r>
        <w:t xml:space="preserve">An </w:t>
      </w:r>
      <w:r w:rsidRPr="00A05342">
        <w:t>effort must be made to help care for the "least of these" in digital environments. In addition, efforts must be made to meet the goals for effective learning with students with learning disabilities. The onus for this</w:t>
      </w:r>
      <w:r>
        <w:t xml:space="preserve"> </w:t>
      </w:r>
      <w:r w:rsidRPr="00A05342">
        <w:t xml:space="preserve">process is not only on instructors and administrators engaged in higher education but also on the students. Students with learning disabilities must take on the responsibility for their learning and learn how to overcome, with the help of their institute of higher education, their learning disabilities to foster effective learning. </w:t>
      </w:r>
    </w:p>
    <w:p w14:paraId="07A2D822" w14:textId="6AA4AADF" w:rsidR="00706789" w:rsidRDefault="00706789" w:rsidP="00A2622C">
      <w:pPr>
        <w:spacing w:line="480" w:lineRule="auto"/>
        <w:ind w:firstLine="720"/>
      </w:pPr>
      <w:r>
        <w:t xml:space="preserve">The confluence of Christian higher education, neuroscience and educational research, digital learning environments, and adults with learning disabilities is an area that requires further study. Future studies can research the compliance of institutes of Christian higher education with the IDEA legislation in digital learning environments. Also, the theology of Christian education intersection with learning disabilities in digital environments is another area that can be explored with further research. Lastly, it would be beneficial to research how institutions of Christian higher education are training their instructors to not only recognize learning disabilities, but also how those instructors are partnering with students to create accommodations to see effective learning happen. Research into these seemingly disparate pieces of Christian higher education are not only </w:t>
      </w:r>
      <w:r>
        <w:lastRenderedPageBreak/>
        <w:t>pertinent to the future, necessary to teach “as much as they could understand” as Jesus did.</w:t>
      </w:r>
      <w:r>
        <w:rPr>
          <w:rStyle w:val="EndnoteReference"/>
        </w:rPr>
        <w:endnoteReference w:id="106"/>
      </w:r>
      <w:r w:rsidR="00A81FF0">
        <w:t>[106]</w:t>
      </w:r>
    </w:p>
    <w:p w14:paraId="7EAB4EB8" w14:textId="77777777" w:rsidR="006B3412" w:rsidRDefault="006B3412" w:rsidP="006522CB">
      <w:pPr>
        <w:pStyle w:val="Caption"/>
        <w:keepNext/>
        <w:ind w:left="-720" w:firstLine="720"/>
        <w:rPr>
          <w:rFonts w:ascii="Times New Roman" w:hAnsi="Times New Roman" w:cs="Times New Roman"/>
          <w:b/>
          <w:bCs/>
          <w:i w:val="0"/>
          <w:iCs w:val="0"/>
          <w:sz w:val="24"/>
          <w:szCs w:val="24"/>
        </w:rPr>
        <w:sectPr w:rsidR="006B3412" w:rsidSect="00706789">
          <w:endnotePr>
            <w:numFmt w:val="decimal"/>
          </w:endnotePr>
          <w:type w:val="continuous"/>
          <w:pgSz w:w="12240" w:h="15840"/>
          <w:pgMar w:top="1440" w:right="1440" w:bottom="1440" w:left="2160" w:header="720" w:footer="720" w:gutter="0"/>
          <w:cols w:space="720"/>
          <w:titlePg/>
          <w:docGrid w:linePitch="360"/>
        </w:sectPr>
      </w:pPr>
      <w:bookmarkStart w:id="0" w:name="_Toc55133273"/>
    </w:p>
    <w:tbl>
      <w:tblPr>
        <w:tblStyle w:val="TableGrid"/>
        <w:tblpPr w:leftFromText="180" w:rightFromText="180" w:vertAnchor="text" w:horzAnchor="margin" w:tblpX="-257" w:tblpY="639"/>
        <w:tblW w:w="13674" w:type="dxa"/>
        <w:tblLook w:val="04A0" w:firstRow="1" w:lastRow="0" w:firstColumn="1" w:lastColumn="0" w:noHBand="0" w:noVBand="1"/>
      </w:tblPr>
      <w:tblGrid>
        <w:gridCol w:w="1795"/>
        <w:gridCol w:w="2788"/>
        <w:gridCol w:w="4411"/>
        <w:gridCol w:w="4680"/>
      </w:tblGrid>
      <w:tr w:rsidR="006B3412" w:rsidRPr="00A05342" w14:paraId="48E1B56E" w14:textId="7FDF78E0" w:rsidTr="00A8683D">
        <w:trPr>
          <w:trHeight w:val="329"/>
        </w:trPr>
        <w:tc>
          <w:tcPr>
            <w:tcW w:w="1795" w:type="dxa"/>
            <w:shd w:val="pct37" w:color="auto" w:fill="auto"/>
          </w:tcPr>
          <w:p w14:paraId="6579BEAC" w14:textId="3E473DE0" w:rsidR="006B3412" w:rsidRPr="00A05342" w:rsidRDefault="006B3412" w:rsidP="00A8683D">
            <w:pPr>
              <w:jc w:val="center"/>
            </w:pPr>
            <w:r w:rsidRPr="00A05342">
              <w:lastRenderedPageBreak/>
              <w:t>Name</w:t>
            </w:r>
          </w:p>
        </w:tc>
        <w:tc>
          <w:tcPr>
            <w:tcW w:w="2788" w:type="dxa"/>
            <w:shd w:val="pct37" w:color="auto" w:fill="auto"/>
          </w:tcPr>
          <w:p w14:paraId="0A94C01A" w14:textId="77777777" w:rsidR="006B3412" w:rsidRPr="00A05342" w:rsidRDefault="006B3412" w:rsidP="00A8683D">
            <w:pPr>
              <w:jc w:val="center"/>
            </w:pPr>
            <w:r w:rsidRPr="00A05342">
              <w:t>Affected Area</w:t>
            </w:r>
          </w:p>
        </w:tc>
        <w:tc>
          <w:tcPr>
            <w:tcW w:w="4411" w:type="dxa"/>
            <w:shd w:val="pct37" w:color="auto" w:fill="auto"/>
          </w:tcPr>
          <w:p w14:paraId="079A6357" w14:textId="77777777" w:rsidR="006B3412" w:rsidRPr="00A05342" w:rsidRDefault="006B3412" w:rsidP="00A8683D">
            <w:pPr>
              <w:jc w:val="center"/>
            </w:pPr>
            <w:r w:rsidRPr="00A05342">
              <w:t>Characteristics</w:t>
            </w:r>
          </w:p>
        </w:tc>
        <w:tc>
          <w:tcPr>
            <w:tcW w:w="4680" w:type="dxa"/>
            <w:shd w:val="pct37" w:color="auto" w:fill="auto"/>
          </w:tcPr>
          <w:p w14:paraId="3B2D17BF" w14:textId="5AB46A8C" w:rsidR="006B3412" w:rsidRPr="00A05342" w:rsidRDefault="00A8683D" w:rsidP="00A8683D">
            <w:pPr>
              <w:jc w:val="center"/>
            </w:pPr>
            <w:r>
              <w:t xml:space="preserve"> Educational </w:t>
            </w:r>
            <w:r w:rsidR="006B3412">
              <w:t xml:space="preserve">Implications </w:t>
            </w:r>
            <w:r>
              <w:t>in DLEs</w:t>
            </w:r>
          </w:p>
        </w:tc>
      </w:tr>
      <w:tr w:rsidR="006B3412" w:rsidRPr="00A05342" w14:paraId="1E8D3114" w14:textId="4BF4C34B" w:rsidTr="00A8683D">
        <w:tc>
          <w:tcPr>
            <w:tcW w:w="1795" w:type="dxa"/>
          </w:tcPr>
          <w:p w14:paraId="15FA18FA" w14:textId="77777777"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Auditory Processing Disorder</w:t>
            </w:r>
          </w:p>
        </w:tc>
        <w:tc>
          <w:tcPr>
            <w:tcW w:w="2788" w:type="dxa"/>
          </w:tcPr>
          <w:p w14:paraId="369CE465" w14:textId="77777777"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Processing or interpretation of sound in the brain</w:t>
            </w:r>
          </w:p>
        </w:tc>
        <w:tc>
          <w:tcPr>
            <w:tcW w:w="4411" w:type="dxa"/>
          </w:tcPr>
          <w:p w14:paraId="3BF2CBA9" w14:textId="77777777" w:rsidR="006B3412" w:rsidRPr="00584DC4" w:rsidRDefault="006B3412" w:rsidP="00A8683D">
            <w:pPr>
              <w:pStyle w:val="NoSpacing"/>
              <w:numPr>
                <w:ilvl w:val="0"/>
                <w:numId w:val="7"/>
              </w:numPr>
              <w:ind w:left="228" w:hanging="180"/>
              <w:rPr>
                <w:rFonts w:ascii="Times New Roman" w:hAnsi="Times New Roman" w:cs="Times New Roman"/>
                <w:sz w:val="16"/>
                <w:szCs w:val="16"/>
              </w:rPr>
            </w:pPr>
            <w:r w:rsidRPr="00584DC4">
              <w:rPr>
                <w:rFonts w:ascii="Times New Roman" w:hAnsi="Times New Roman" w:cs="Times New Roman"/>
                <w:sz w:val="16"/>
                <w:szCs w:val="16"/>
              </w:rPr>
              <w:t>Difficulty making sense of sounds</w:t>
            </w:r>
          </w:p>
          <w:p w14:paraId="6C7BEB7B" w14:textId="77777777" w:rsidR="006B3412" w:rsidRPr="00584DC4" w:rsidRDefault="006B3412" w:rsidP="00A8683D">
            <w:pPr>
              <w:pStyle w:val="NoSpacing"/>
              <w:numPr>
                <w:ilvl w:val="0"/>
                <w:numId w:val="7"/>
              </w:numPr>
              <w:ind w:left="228" w:hanging="180"/>
              <w:rPr>
                <w:rFonts w:ascii="Times New Roman" w:hAnsi="Times New Roman" w:cs="Times New Roman"/>
                <w:sz w:val="16"/>
                <w:szCs w:val="16"/>
              </w:rPr>
            </w:pPr>
            <w:r w:rsidRPr="00584DC4">
              <w:rPr>
                <w:rFonts w:ascii="Times New Roman" w:hAnsi="Times New Roman" w:cs="Times New Roman"/>
                <w:sz w:val="16"/>
                <w:szCs w:val="16"/>
              </w:rPr>
              <w:t>Problems with blocking our background noise</w:t>
            </w:r>
          </w:p>
          <w:p w14:paraId="6905CCC3" w14:textId="77777777" w:rsidR="006B3412" w:rsidRPr="00584DC4" w:rsidRDefault="006B3412" w:rsidP="00A8683D">
            <w:pPr>
              <w:pStyle w:val="NoSpacing"/>
              <w:numPr>
                <w:ilvl w:val="0"/>
                <w:numId w:val="7"/>
              </w:numPr>
              <w:ind w:left="228" w:hanging="180"/>
              <w:rPr>
                <w:rFonts w:ascii="Times New Roman" w:hAnsi="Times New Roman" w:cs="Times New Roman"/>
                <w:sz w:val="16"/>
                <w:szCs w:val="16"/>
              </w:rPr>
            </w:pPr>
            <w:r w:rsidRPr="00584DC4">
              <w:rPr>
                <w:rFonts w:ascii="Times New Roman" w:hAnsi="Times New Roman" w:cs="Times New Roman"/>
                <w:sz w:val="16"/>
                <w:szCs w:val="16"/>
              </w:rPr>
              <w:t>Trouble telling where sound is coming from</w:t>
            </w:r>
          </w:p>
        </w:tc>
        <w:tc>
          <w:tcPr>
            <w:tcW w:w="4680" w:type="dxa"/>
          </w:tcPr>
          <w:p w14:paraId="74E6E0BC" w14:textId="436A5FA7" w:rsidR="006B3412" w:rsidRPr="00584DC4" w:rsidRDefault="006B3412" w:rsidP="00A8683D">
            <w:pPr>
              <w:pStyle w:val="NoSpacing"/>
              <w:numPr>
                <w:ilvl w:val="0"/>
                <w:numId w:val="7"/>
              </w:numPr>
              <w:ind w:left="228" w:hanging="180"/>
              <w:rPr>
                <w:rFonts w:ascii="Times New Roman" w:hAnsi="Times New Roman" w:cs="Times New Roman"/>
                <w:sz w:val="16"/>
                <w:szCs w:val="16"/>
              </w:rPr>
            </w:pPr>
            <w:r w:rsidRPr="00584DC4">
              <w:rPr>
                <w:rFonts w:ascii="Times New Roman" w:hAnsi="Times New Roman" w:cs="Times New Roman"/>
                <w:sz w:val="16"/>
                <w:szCs w:val="16"/>
              </w:rPr>
              <w:t xml:space="preserve">Difficulty with video-based learning because extraneous noise </w:t>
            </w:r>
            <w:r w:rsidR="00584DC4" w:rsidRPr="00584DC4">
              <w:rPr>
                <w:rFonts w:ascii="Times New Roman" w:hAnsi="Times New Roman" w:cs="Times New Roman"/>
                <w:sz w:val="16"/>
                <w:szCs w:val="16"/>
              </w:rPr>
              <w:t>(</w:t>
            </w:r>
            <w:r w:rsidR="002F57C0" w:rsidRPr="00584DC4">
              <w:rPr>
                <w:rFonts w:ascii="Times New Roman" w:hAnsi="Times New Roman" w:cs="Times New Roman"/>
                <w:sz w:val="16"/>
                <w:szCs w:val="16"/>
              </w:rPr>
              <w:t>i.e.,</w:t>
            </w:r>
            <w:r w:rsidR="00584DC4" w:rsidRPr="00584DC4">
              <w:rPr>
                <w:rFonts w:ascii="Times New Roman" w:hAnsi="Times New Roman" w:cs="Times New Roman"/>
                <w:sz w:val="16"/>
                <w:szCs w:val="16"/>
              </w:rPr>
              <w:t xml:space="preserve"> someone forgets to mute their microphone on a video call)</w:t>
            </w:r>
          </w:p>
          <w:p w14:paraId="07F4E3F9" w14:textId="773D3AE3" w:rsidR="006B3412" w:rsidRPr="00584DC4" w:rsidRDefault="006B3412" w:rsidP="00A8683D">
            <w:pPr>
              <w:pStyle w:val="NoSpacing"/>
              <w:numPr>
                <w:ilvl w:val="0"/>
                <w:numId w:val="7"/>
              </w:numPr>
              <w:ind w:left="228" w:hanging="180"/>
              <w:rPr>
                <w:rFonts w:ascii="Times New Roman" w:hAnsi="Times New Roman" w:cs="Times New Roman"/>
                <w:sz w:val="16"/>
                <w:szCs w:val="16"/>
              </w:rPr>
            </w:pPr>
            <w:r w:rsidRPr="00584DC4">
              <w:rPr>
                <w:rFonts w:ascii="Times New Roman" w:hAnsi="Times New Roman" w:cs="Times New Roman"/>
                <w:sz w:val="16"/>
                <w:szCs w:val="16"/>
              </w:rPr>
              <w:t>Increased distraction depending on location of learning</w:t>
            </w:r>
          </w:p>
        </w:tc>
      </w:tr>
      <w:tr w:rsidR="006B3412" w:rsidRPr="00A05342" w14:paraId="2887FC2F" w14:textId="58DA851F" w:rsidTr="00A8683D">
        <w:tc>
          <w:tcPr>
            <w:tcW w:w="1795" w:type="dxa"/>
          </w:tcPr>
          <w:p w14:paraId="29A096BF" w14:textId="77777777"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Dyscalculia</w:t>
            </w:r>
          </w:p>
        </w:tc>
        <w:tc>
          <w:tcPr>
            <w:tcW w:w="2788" w:type="dxa"/>
          </w:tcPr>
          <w:p w14:paraId="10C3E5FF" w14:textId="77777777"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Numbers and Mathematics skills</w:t>
            </w:r>
          </w:p>
        </w:tc>
        <w:tc>
          <w:tcPr>
            <w:tcW w:w="4411" w:type="dxa"/>
          </w:tcPr>
          <w:p w14:paraId="465B1B7D" w14:textId="77777777" w:rsidR="006B3412" w:rsidRPr="00584DC4" w:rsidRDefault="006B3412" w:rsidP="00A8683D">
            <w:pPr>
              <w:pStyle w:val="NoSpacing"/>
              <w:numPr>
                <w:ilvl w:val="0"/>
                <w:numId w:val="8"/>
              </w:numPr>
              <w:ind w:left="228" w:hanging="180"/>
              <w:rPr>
                <w:rFonts w:ascii="Times New Roman" w:hAnsi="Times New Roman" w:cs="Times New Roman"/>
                <w:sz w:val="16"/>
                <w:szCs w:val="16"/>
              </w:rPr>
            </w:pPr>
            <w:r w:rsidRPr="00584DC4">
              <w:rPr>
                <w:rFonts w:ascii="Times New Roman" w:hAnsi="Times New Roman" w:cs="Times New Roman"/>
                <w:sz w:val="16"/>
                <w:szCs w:val="16"/>
              </w:rPr>
              <w:t>Difficulty learning math facts such as symbols and place value</w:t>
            </w:r>
          </w:p>
          <w:p w14:paraId="303A5890" w14:textId="77777777" w:rsidR="006B3412" w:rsidRPr="00584DC4" w:rsidRDefault="006B3412" w:rsidP="00A8683D">
            <w:pPr>
              <w:pStyle w:val="NoSpacing"/>
              <w:numPr>
                <w:ilvl w:val="0"/>
                <w:numId w:val="8"/>
              </w:numPr>
              <w:ind w:left="228" w:hanging="180"/>
              <w:rPr>
                <w:rFonts w:ascii="Times New Roman" w:hAnsi="Times New Roman" w:cs="Times New Roman"/>
                <w:sz w:val="16"/>
                <w:szCs w:val="16"/>
              </w:rPr>
            </w:pPr>
            <w:r w:rsidRPr="00584DC4">
              <w:rPr>
                <w:rFonts w:ascii="Times New Roman" w:hAnsi="Times New Roman" w:cs="Times New Roman"/>
                <w:sz w:val="16"/>
                <w:szCs w:val="16"/>
              </w:rPr>
              <w:t>Problems with counting</w:t>
            </w:r>
          </w:p>
          <w:p w14:paraId="49645119" w14:textId="77777777" w:rsidR="006B3412" w:rsidRPr="00584DC4" w:rsidRDefault="006B3412" w:rsidP="00A8683D">
            <w:pPr>
              <w:pStyle w:val="NoSpacing"/>
              <w:numPr>
                <w:ilvl w:val="0"/>
                <w:numId w:val="8"/>
              </w:numPr>
              <w:ind w:left="228" w:hanging="180"/>
              <w:rPr>
                <w:rFonts w:ascii="Times New Roman" w:hAnsi="Times New Roman" w:cs="Times New Roman"/>
                <w:sz w:val="16"/>
                <w:szCs w:val="16"/>
              </w:rPr>
            </w:pPr>
            <w:r w:rsidRPr="00584DC4">
              <w:rPr>
                <w:rFonts w:ascii="Times New Roman" w:hAnsi="Times New Roman" w:cs="Times New Roman"/>
                <w:sz w:val="16"/>
                <w:szCs w:val="16"/>
              </w:rPr>
              <w:t>Trouble telling time</w:t>
            </w:r>
          </w:p>
        </w:tc>
        <w:tc>
          <w:tcPr>
            <w:tcW w:w="4680" w:type="dxa"/>
          </w:tcPr>
          <w:p w14:paraId="18A31184" w14:textId="7752D938" w:rsidR="006B3412" w:rsidRPr="00584DC4" w:rsidRDefault="006B3412" w:rsidP="00A8683D">
            <w:pPr>
              <w:pStyle w:val="NoSpacing"/>
              <w:numPr>
                <w:ilvl w:val="0"/>
                <w:numId w:val="8"/>
              </w:numPr>
              <w:ind w:left="228" w:hanging="180"/>
              <w:rPr>
                <w:rFonts w:ascii="Times New Roman" w:hAnsi="Times New Roman" w:cs="Times New Roman"/>
                <w:sz w:val="16"/>
                <w:szCs w:val="16"/>
              </w:rPr>
            </w:pPr>
            <w:r w:rsidRPr="00584DC4">
              <w:rPr>
                <w:rFonts w:ascii="Times New Roman" w:hAnsi="Times New Roman" w:cs="Times New Roman"/>
                <w:sz w:val="16"/>
                <w:szCs w:val="16"/>
              </w:rPr>
              <w:t xml:space="preserve">Online mathematics learning </w:t>
            </w:r>
            <w:r w:rsidR="002F57C0" w:rsidRPr="00584DC4">
              <w:rPr>
                <w:rFonts w:ascii="Times New Roman" w:hAnsi="Times New Roman" w:cs="Times New Roman"/>
                <w:sz w:val="16"/>
                <w:szCs w:val="16"/>
              </w:rPr>
              <w:t>exhibits</w:t>
            </w:r>
            <w:r w:rsidRPr="00584DC4">
              <w:rPr>
                <w:rFonts w:ascii="Times New Roman" w:hAnsi="Times New Roman" w:cs="Times New Roman"/>
                <w:sz w:val="16"/>
                <w:szCs w:val="16"/>
              </w:rPr>
              <w:t xml:space="preserve"> the same difficulty no matter the medium of instruction</w:t>
            </w:r>
          </w:p>
          <w:p w14:paraId="5231E2E8" w14:textId="4D400965" w:rsidR="00584DC4" w:rsidRPr="00584DC4" w:rsidRDefault="00584DC4" w:rsidP="00A8683D">
            <w:pPr>
              <w:pStyle w:val="NoSpacing"/>
              <w:numPr>
                <w:ilvl w:val="0"/>
                <w:numId w:val="8"/>
              </w:numPr>
              <w:ind w:left="228" w:hanging="180"/>
              <w:rPr>
                <w:rFonts w:ascii="Times New Roman" w:hAnsi="Times New Roman" w:cs="Times New Roman"/>
                <w:sz w:val="16"/>
                <w:szCs w:val="16"/>
              </w:rPr>
            </w:pPr>
            <w:r w:rsidRPr="00584DC4">
              <w:rPr>
                <w:rFonts w:ascii="Times New Roman" w:hAnsi="Times New Roman" w:cs="Times New Roman"/>
                <w:sz w:val="16"/>
                <w:szCs w:val="16"/>
              </w:rPr>
              <w:t>These are online programs that aid those with dyscalculia in mathematics.</w:t>
            </w:r>
          </w:p>
        </w:tc>
      </w:tr>
      <w:tr w:rsidR="006B3412" w14:paraId="48FDC836" w14:textId="5EDAC6A8" w:rsidTr="00A8683D">
        <w:tc>
          <w:tcPr>
            <w:tcW w:w="1795" w:type="dxa"/>
          </w:tcPr>
          <w:p w14:paraId="03E25139" w14:textId="77777777"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Dysgraphia</w:t>
            </w:r>
          </w:p>
        </w:tc>
        <w:tc>
          <w:tcPr>
            <w:tcW w:w="2788" w:type="dxa"/>
          </w:tcPr>
          <w:p w14:paraId="1C52A963" w14:textId="77777777"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Fine motor skills and handwriting</w:t>
            </w:r>
          </w:p>
        </w:tc>
        <w:tc>
          <w:tcPr>
            <w:tcW w:w="4411" w:type="dxa"/>
          </w:tcPr>
          <w:p w14:paraId="2A38FEDA" w14:textId="77777777" w:rsidR="006B3412" w:rsidRPr="00584DC4" w:rsidRDefault="006B3412" w:rsidP="00A8683D">
            <w:pPr>
              <w:pStyle w:val="NoSpacing"/>
              <w:numPr>
                <w:ilvl w:val="0"/>
                <w:numId w:val="9"/>
              </w:numPr>
              <w:ind w:left="228" w:hanging="180"/>
              <w:rPr>
                <w:rFonts w:ascii="Times New Roman" w:hAnsi="Times New Roman" w:cs="Times New Roman"/>
                <w:sz w:val="16"/>
                <w:szCs w:val="16"/>
              </w:rPr>
            </w:pPr>
            <w:r w:rsidRPr="00584DC4">
              <w:rPr>
                <w:rFonts w:ascii="Times New Roman" w:hAnsi="Times New Roman" w:cs="Times New Roman"/>
                <w:sz w:val="16"/>
                <w:szCs w:val="16"/>
              </w:rPr>
              <w:t>Illegible handwriting</w:t>
            </w:r>
          </w:p>
          <w:p w14:paraId="6795BA66" w14:textId="77777777" w:rsidR="006B3412" w:rsidRPr="00584DC4" w:rsidRDefault="006B3412" w:rsidP="00A8683D">
            <w:pPr>
              <w:pStyle w:val="NoSpacing"/>
              <w:numPr>
                <w:ilvl w:val="0"/>
                <w:numId w:val="9"/>
              </w:numPr>
              <w:ind w:left="228" w:hanging="180"/>
              <w:rPr>
                <w:rFonts w:ascii="Times New Roman" w:hAnsi="Times New Roman" w:cs="Times New Roman"/>
                <w:sz w:val="16"/>
                <w:szCs w:val="16"/>
              </w:rPr>
            </w:pPr>
            <w:r w:rsidRPr="00584DC4">
              <w:rPr>
                <w:rFonts w:ascii="Times New Roman" w:hAnsi="Times New Roman" w:cs="Times New Roman"/>
                <w:sz w:val="16"/>
                <w:szCs w:val="16"/>
              </w:rPr>
              <w:t>Inconsistent use of letters</w:t>
            </w:r>
          </w:p>
          <w:p w14:paraId="761CC6A6" w14:textId="77777777" w:rsidR="006B3412" w:rsidRPr="00584DC4" w:rsidRDefault="006B3412" w:rsidP="00A8683D">
            <w:pPr>
              <w:pStyle w:val="NoSpacing"/>
              <w:numPr>
                <w:ilvl w:val="0"/>
                <w:numId w:val="9"/>
              </w:numPr>
              <w:ind w:left="228" w:hanging="180"/>
              <w:rPr>
                <w:rFonts w:ascii="Times New Roman" w:hAnsi="Times New Roman" w:cs="Times New Roman"/>
                <w:sz w:val="16"/>
                <w:szCs w:val="16"/>
              </w:rPr>
            </w:pPr>
            <w:r w:rsidRPr="00584DC4">
              <w:rPr>
                <w:rFonts w:ascii="Times New Roman" w:hAnsi="Times New Roman" w:cs="Times New Roman"/>
                <w:sz w:val="16"/>
                <w:szCs w:val="16"/>
              </w:rPr>
              <w:t>Difficulty with spatial planning on paper</w:t>
            </w:r>
          </w:p>
        </w:tc>
        <w:tc>
          <w:tcPr>
            <w:tcW w:w="4680" w:type="dxa"/>
          </w:tcPr>
          <w:p w14:paraId="0A03F5D9" w14:textId="5CCADD70" w:rsidR="006B3412" w:rsidRPr="00584DC4" w:rsidRDefault="006B3412" w:rsidP="00A8683D">
            <w:pPr>
              <w:pStyle w:val="NoSpacing"/>
              <w:numPr>
                <w:ilvl w:val="0"/>
                <w:numId w:val="9"/>
              </w:numPr>
              <w:ind w:left="228" w:hanging="180"/>
              <w:rPr>
                <w:rFonts w:ascii="Times New Roman" w:hAnsi="Times New Roman" w:cs="Times New Roman"/>
                <w:sz w:val="16"/>
                <w:szCs w:val="16"/>
              </w:rPr>
            </w:pPr>
            <w:r w:rsidRPr="00584DC4">
              <w:rPr>
                <w:rFonts w:ascii="Times New Roman" w:hAnsi="Times New Roman" w:cs="Times New Roman"/>
                <w:sz w:val="16"/>
                <w:szCs w:val="16"/>
              </w:rPr>
              <w:t xml:space="preserve">The written difficulty in the traditional classroom is exhibited and even accentuated with </w:t>
            </w:r>
            <w:r w:rsidR="002F57C0" w:rsidRPr="00584DC4">
              <w:rPr>
                <w:rFonts w:ascii="Times New Roman" w:hAnsi="Times New Roman" w:cs="Times New Roman"/>
                <w:sz w:val="16"/>
                <w:szCs w:val="16"/>
              </w:rPr>
              <w:t>technology-based</w:t>
            </w:r>
            <w:r w:rsidRPr="00584DC4">
              <w:rPr>
                <w:rFonts w:ascii="Times New Roman" w:hAnsi="Times New Roman" w:cs="Times New Roman"/>
                <w:sz w:val="16"/>
                <w:szCs w:val="16"/>
              </w:rPr>
              <w:t xml:space="preserve"> learning.</w:t>
            </w:r>
            <w:r w:rsidR="00A8683D">
              <w:rPr>
                <w:rFonts w:ascii="Times New Roman" w:hAnsi="Times New Roman" w:cs="Times New Roman"/>
                <w:sz w:val="16"/>
                <w:szCs w:val="16"/>
              </w:rPr>
              <w:t xml:space="preserve"> More time to complete assignments or alternate forms of assessment, such as presentations, are beneficial.</w:t>
            </w:r>
          </w:p>
        </w:tc>
      </w:tr>
      <w:tr w:rsidR="006B3412" w14:paraId="39CD72C4" w14:textId="54FB3F00" w:rsidTr="00A8683D">
        <w:tc>
          <w:tcPr>
            <w:tcW w:w="1795" w:type="dxa"/>
          </w:tcPr>
          <w:p w14:paraId="4AF6ADD6" w14:textId="77777777"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Dyslexia</w:t>
            </w:r>
          </w:p>
        </w:tc>
        <w:tc>
          <w:tcPr>
            <w:tcW w:w="2788" w:type="dxa"/>
          </w:tcPr>
          <w:p w14:paraId="7477CBFF" w14:textId="77777777"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Reading and language processing skills</w:t>
            </w:r>
          </w:p>
        </w:tc>
        <w:tc>
          <w:tcPr>
            <w:tcW w:w="4411" w:type="dxa"/>
          </w:tcPr>
          <w:p w14:paraId="32D9ED00" w14:textId="77777777" w:rsidR="006B3412" w:rsidRPr="00584DC4"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Reading slowly</w:t>
            </w:r>
          </w:p>
          <w:p w14:paraId="6D65DA1C" w14:textId="77777777" w:rsidR="006B3412" w:rsidRPr="00584DC4"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Difficulty decoding words, especially the order of letters</w:t>
            </w:r>
          </w:p>
          <w:p w14:paraId="776D5E74" w14:textId="77777777" w:rsidR="006B3412" w:rsidRPr="00584DC4"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 xml:space="preserve">Problems with verbal expression </w:t>
            </w:r>
          </w:p>
        </w:tc>
        <w:tc>
          <w:tcPr>
            <w:tcW w:w="4680" w:type="dxa"/>
          </w:tcPr>
          <w:p w14:paraId="209515CB" w14:textId="77777777" w:rsidR="006B3412" w:rsidRPr="00584DC4"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Screen based text accentuates the difficulty with reading.</w:t>
            </w:r>
          </w:p>
          <w:p w14:paraId="416BE6E5" w14:textId="77777777" w:rsidR="006B3412" w:rsidRPr="00584DC4"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These are digital programs that aid those with dyslexia in reading.</w:t>
            </w:r>
          </w:p>
          <w:p w14:paraId="45ACD38B" w14:textId="3EE8DEA2" w:rsidR="00584DC4" w:rsidRPr="00584DC4" w:rsidRDefault="00584DC4"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Text to speech apps aid in disseminating information to those with dyslexia.</w:t>
            </w:r>
          </w:p>
        </w:tc>
      </w:tr>
      <w:tr w:rsidR="006B3412" w14:paraId="5251BAED" w14:textId="123C4E98" w:rsidTr="00A8683D">
        <w:tc>
          <w:tcPr>
            <w:tcW w:w="1795" w:type="dxa"/>
          </w:tcPr>
          <w:p w14:paraId="19B88EF7" w14:textId="77777777"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Language Processing Disorder</w:t>
            </w:r>
          </w:p>
        </w:tc>
        <w:tc>
          <w:tcPr>
            <w:tcW w:w="2788" w:type="dxa"/>
          </w:tcPr>
          <w:p w14:paraId="58515153" w14:textId="77777777"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Language Processing Skills</w:t>
            </w:r>
          </w:p>
        </w:tc>
        <w:tc>
          <w:tcPr>
            <w:tcW w:w="4411" w:type="dxa"/>
          </w:tcPr>
          <w:p w14:paraId="42A9D4D0" w14:textId="77777777" w:rsidR="006B3412" w:rsidRPr="00584DC4"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Difficulty understanding meaning of spoken language</w:t>
            </w:r>
          </w:p>
          <w:p w14:paraId="08560C7A" w14:textId="77777777" w:rsidR="006B3412" w:rsidRPr="00584DC4"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Poor reading comprehension</w:t>
            </w:r>
          </w:p>
          <w:p w14:paraId="682960C9" w14:textId="77777777" w:rsidR="006B3412" w:rsidRPr="00584DC4"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Problems with verbal expression</w:t>
            </w:r>
          </w:p>
          <w:p w14:paraId="1672EF44" w14:textId="77777777" w:rsidR="006B3412" w:rsidRPr="00584DC4" w:rsidRDefault="006B3412" w:rsidP="00A8683D">
            <w:pPr>
              <w:pStyle w:val="NoSpacing"/>
              <w:rPr>
                <w:rFonts w:ascii="Times New Roman" w:hAnsi="Times New Roman" w:cs="Times New Roman"/>
                <w:sz w:val="16"/>
                <w:szCs w:val="16"/>
              </w:rPr>
            </w:pPr>
          </w:p>
        </w:tc>
        <w:tc>
          <w:tcPr>
            <w:tcW w:w="4680" w:type="dxa"/>
          </w:tcPr>
          <w:p w14:paraId="2E9FE18E" w14:textId="25372BF4" w:rsidR="00A8683D" w:rsidRPr="00A8683D" w:rsidRDefault="00A8683D" w:rsidP="00A8683D">
            <w:pPr>
              <w:pStyle w:val="NoSpacing"/>
              <w:numPr>
                <w:ilvl w:val="0"/>
                <w:numId w:val="10"/>
              </w:numPr>
              <w:ind w:left="228" w:hanging="180"/>
              <w:rPr>
                <w:rFonts w:ascii="Times New Roman" w:hAnsi="Times New Roman" w:cs="Times New Roman"/>
                <w:sz w:val="16"/>
                <w:szCs w:val="16"/>
              </w:rPr>
            </w:pPr>
            <w:r>
              <w:rPr>
                <w:rFonts w:ascii="Times New Roman" w:hAnsi="Times New Roman" w:cs="Times New Roman"/>
                <w:sz w:val="16"/>
                <w:szCs w:val="16"/>
              </w:rPr>
              <w:t>These students will have difficulty with accessing the primary ways of delivering educational content in DLEs (video and reading). Allowing more time for digestion of content will help.</w:t>
            </w:r>
          </w:p>
        </w:tc>
      </w:tr>
      <w:tr w:rsidR="006B3412" w14:paraId="703B2C55" w14:textId="469CD13D" w:rsidTr="00A8683D">
        <w:tc>
          <w:tcPr>
            <w:tcW w:w="1795" w:type="dxa"/>
          </w:tcPr>
          <w:p w14:paraId="247CEAEB" w14:textId="77777777"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Nonverbal Learning Disabilities</w:t>
            </w:r>
          </w:p>
        </w:tc>
        <w:tc>
          <w:tcPr>
            <w:tcW w:w="2788" w:type="dxa"/>
          </w:tcPr>
          <w:p w14:paraId="674D0486" w14:textId="77777777"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Nonverbal skills such as motor, visual-spatial, and social skills</w:t>
            </w:r>
          </w:p>
        </w:tc>
        <w:tc>
          <w:tcPr>
            <w:tcW w:w="4411" w:type="dxa"/>
          </w:tcPr>
          <w:p w14:paraId="10B369A4" w14:textId="77777777" w:rsidR="006B3412" w:rsidRPr="00584DC4"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Difficulty interpreting body language or facial expressions</w:t>
            </w:r>
          </w:p>
          <w:p w14:paraId="4DE86DB4" w14:textId="77777777" w:rsidR="006B3412" w:rsidRPr="00584DC4"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Poor motor coordination</w:t>
            </w:r>
          </w:p>
          <w:p w14:paraId="68C563E9" w14:textId="77777777" w:rsidR="006B3412" w:rsidRPr="00584DC4"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Trouble with multistep instructions</w:t>
            </w:r>
          </w:p>
          <w:p w14:paraId="7796D375" w14:textId="77777777"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 xml:space="preserve"> </w:t>
            </w:r>
          </w:p>
        </w:tc>
        <w:tc>
          <w:tcPr>
            <w:tcW w:w="4680" w:type="dxa"/>
          </w:tcPr>
          <w:p w14:paraId="44C20615" w14:textId="77777777" w:rsidR="006B3412" w:rsidRDefault="00A8683D" w:rsidP="00A8683D">
            <w:pPr>
              <w:pStyle w:val="NoSpacing"/>
              <w:numPr>
                <w:ilvl w:val="0"/>
                <w:numId w:val="10"/>
              </w:numPr>
              <w:ind w:left="228" w:hanging="180"/>
              <w:rPr>
                <w:rFonts w:ascii="Times New Roman" w:hAnsi="Times New Roman" w:cs="Times New Roman"/>
                <w:sz w:val="16"/>
                <w:szCs w:val="16"/>
              </w:rPr>
            </w:pPr>
            <w:r>
              <w:rPr>
                <w:rFonts w:ascii="Times New Roman" w:hAnsi="Times New Roman" w:cs="Times New Roman"/>
                <w:sz w:val="16"/>
                <w:szCs w:val="16"/>
              </w:rPr>
              <w:t xml:space="preserve">Video based learning and technology-based expression are difficult. It may help to slow down instruction to afford these students more time to finish assignments. </w:t>
            </w:r>
          </w:p>
          <w:p w14:paraId="0913E409" w14:textId="3EBB36CF" w:rsidR="00A8683D" w:rsidRPr="00584DC4" w:rsidRDefault="00A8683D" w:rsidP="00A8683D">
            <w:pPr>
              <w:pStyle w:val="NoSpacing"/>
              <w:numPr>
                <w:ilvl w:val="0"/>
                <w:numId w:val="10"/>
              </w:numPr>
              <w:ind w:left="228" w:hanging="180"/>
              <w:rPr>
                <w:rFonts w:ascii="Times New Roman" w:hAnsi="Times New Roman" w:cs="Times New Roman"/>
                <w:sz w:val="16"/>
                <w:szCs w:val="16"/>
              </w:rPr>
            </w:pPr>
            <w:r>
              <w:rPr>
                <w:rFonts w:ascii="Times New Roman" w:hAnsi="Times New Roman" w:cs="Times New Roman"/>
                <w:sz w:val="16"/>
                <w:szCs w:val="16"/>
              </w:rPr>
              <w:t>Simpler assignment instructions and single platform assignments help.</w:t>
            </w:r>
          </w:p>
        </w:tc>
      </w:tr>
      <w:tr w:rsidR="006B3412" w14:paraId="322E5727" w14:textId="5B1FDCB3" w:rsidTr="00A8683D">
        <w:tc>
          <w:tcPr>
            <w:tcW w:w="1795" w:type="dxa"/>
          </w:tcPr>
          <w:p w14:paraId="1A5C4D8A" w14:textId="77777777" w:rsidR="00584DC4"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Visual Perceptual</w:t>
            </w:r>
          </w:p>
          <w:p w14:paraId="2920AA66" w14:textId="495343C9"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Visual Motor Deficit</w:t>
            </w:r>
          </w:p>
        </w:tc>
        <w:tc>
          <w:tcPr>
            <w:tcW w:w="2788" w:type="dxa"/>
          </w:tcPr>
          <w:p w14:paraId="6535C5B9" w14:textId="77777777"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Interpreting visual information or drawing</w:t>
            </w:r>
          </w:p>
        </w:tc>
        <w:tc>
          <w:tcPr>
            <w:tcW w:w="4411" w:type="dxa"/>
          </w:tcPr>
          <w:p w14:paraId="5AEF2CA9" w14:textId="77777777" w:rsidR="006B3412" w:rsidRPr="00584DC4"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Mistakes in writing, such as reversing letters</w:t>
            </w:r>
          </w:p>
          <w:p w14:paraId="24914329" w14:textId="77777777" w:rsidR="006B3412" w:rsidRPr="00584DC4"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Too-tight grip on pencil or other writing tool</w:t>
            </w:r>
          </w:p>
          <w:p w14:paraId="73CA47B8" w14:textId="77777777" w:rsidR="006B3412" w:rsidRPr="00584DC4"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 xml:space="preserve">Poor hand/eye coordination </w:t>
            </w:r>
          </w:p>
        </w:tc>
        <w:tc>
          <w:tcPr>
            <w:tcW w:w="4680" w:type="dxa"/>
          </w:tcPr>
          <w:p w14:paraId="42BB5A71" w14:textId="77777777" w:rsidR="006B3412" w:rsidRDefault="00A8683D" w:rsidP="00A8683D">
            <w:pPr>
              <w:pStyle w:val="NoSpacing"/>
              <w:numPr>
                <w:ilvl w:val="0"/>
                <w:numId w:val="10"/>
              </w:numPr>
              <w:ind w:left="228" w:hanging="180"/>
              <w:rPr>
                <w:rFonts w:ascii="Times New Roman" w:hAnsi="Times New Roman" w:cs="Times New Roman"/>
                <w:sz w:val="16"/>
                <w:szCs w:val="16"/>
              </w:rPr>
            </w:pPr>
            <w:r>
              <w:rPr>
                <w:rFonts w:ascii="Times New Roman" w:hAnsi="Times New Roman" w:cs="Times New Roman"/>
                <w:sz w:val="16"/>
                <w:szCs w:val="16"/>
              </w:rPr>
              <w:t>These students benefit from the ability to use technology to produce assignments rather than writing.</w:t>
            </w:r>
          </w:p>
          <w:p w14:paraId="7062980A" w14:textId="68AEBAFB" w:rsidR="00A8683D" w:rsidRPr="00584DC4" w:rsidRDefault="00A8683D" w:rsidP="00A8683D">
            <w:pPr>
              <w:pStyle w:val="NoSpacing"/>
              <w:numPr>
                <w:ilvl w:val="0"/>
                <w:numId w:val="10"/>
              </w:numPr>
              <w:ind w:left="228" w:hanging="180"/>
              <w:rPr>
                <w:rFonts w:ascii="Times New Roman" w:hAnsi="Times New Roman" w:cs="Times New Roman"/>
                <w:sz w:val="16"/>
                <w:szCs w:val="16"/>
              </w:rPr>
            </w:pPr>
            <w:r>
              <w:rPr>
                <w:rFonts w:ascii="Times New Roman" w:hAnsi="Times New Roman" w:cs="Times New Roman"/>
                <w:sz w:val="16"/>
                <w:szCs w:val="16"/>
              </w:rPr>
              <w:t>More time to complete assignments that involve hand eye coordination is a valid accommodation.</w:t>
            </w:r>
          </w:p>
        </w:tc>
      </w:tr>
      <w:tr w:rsidR="006B3412" w14:paraId="2B7CCA99" w14:textId="116FAFBF" w:rsidTr="00A8683D">
        <w:tc>
          <w:tcPr>
            <w:tcW w:w="1795" w:type="dxa"/>
          </w:tcPr>
          <w:p w14:paraId="6A65C566" w14:textId="77777777" w:rsidR="00584DC4"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Other Health</w:t>
            </w:r>
          </w:p>
          <w:p w14:paraId="36D25001" w14:textId="06B1B47D"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 xml:space="preserve"> Impairments</w:t>
            </w:r>
          </w:p>
          <w:p w14:paraId="3D54123A" w14:textId="77777777"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Section 300.8(c)9</w:t>
            </w:r>
          </w:p>
        </w:tc>
        <w:tc>
          <w:tcPr>
            <w:tcW w:w="2788" w:type="dxa"/>
          </w:tcPr>
          <w:p w14:paraId="4904D4C0" w14:textId="523D1593" w:rsidR="006B3412" w:rsidRPr="00584DC4" w:rsidRDefault="006B3412" w:rsidP="00A8683D">
            <w:pPr>
              <w:pStyle w:val="NoSpacing"/>
              <w:rPr>
                <w:rFonts w:ascii="Times New Roman" w:hAnsi="Times New Roman" w:cs="Times New Roman"/>
                <w:sz w:val="16"/>
                <w:szCs w:val="16"/>
              </w:rPr>
            </w:pPr>
            <w:r w:rsidRPr="00584DC4">
              <w:rPr>
                <w:rFonts w:ascii="Times New Roman" w:hAnsi="Times New Roman" w:cs="Times New Roman"/>
                <w:sz w:val="16"/>
                <w:szCs w:val="16"/>
              </w:rPr>
              <w:t>Other health impairment means having limited strength, vitality, or alertness, including a heightened alertness to environmental stimuli, that results in limited alertness with respect to the educational environment</w:t>
            </w:r>
          </w:p>
        </w:tc>
        <w:tc>
          <w:tcPr>
            <w:tcW w:w="4411" w:type="dxa"/>
          </w:tcPr>
          <w:p w14:paraId="5962A217" w14:textId="77777777" w:rsidR="006B3412" w:rsidRPr="00584DC4"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Due to a chronic or acute health problems</w:t>
            </w:r>
          </w:p>
          <w:p w14:paraId="37F12C1D" w14:textId="77777777" w:rsidR="006B3412" w:rsidRPr="00584DC4"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Affects a child’s educational performance</w:t>
            </w:r>
          </w:p>
          <w:p w14:paraId="3A36339F" w14:textId="56685DE4" w:rsidR="006B3412" w:rsidRDefault="006B3412" w:rsidP="00A8683D">
            <w:pPr>
              <w:pStyle w:val="NoSpacing"/>
              <w:numPr>
                <w:ilvl w:val="0"/>
                <w:numId w:val="10"/>
              </w:numPr>
              <w:ind w:left="228" w:hanging="180"/>
              <w:rPr>
                <w:rFonts w:ascii="Times New Roman" w:hAnsi="Times New Roman" w:cs="Times New Roman"/>
                <w:sz w:val="16"/>
                <w:szCs w:val="16"/>
              </w:rPr>
            </w:pPr>
            <w:r w:rsidRPr="00584DC4">
              <w:rPr>
                <w:rFonts w:ascii="Times New Roman" w:hAnsi="Times New Roman" w:cs="Times New Roman"/>
                <w:sz w:val="16"/>
                <w:szCs w:val="16"/>
              </w:rPr>
              <w:t>Very broad and vague category that many different diagnoses fit within</w:t>
            </w:r>
          </w:p>
          <w:p w14:paraId="7CE6D648" w14:textId="543A3160" w:rsidR="00A8683D" w:rsidRPr="00584DC4" w:rsidRDefault="00A8683D" w:rsidP="00A8683D">
            <w:pPr>
              <w:pStyle w:val="NoSpacing"/>
              <w:numPr>
                <w:ilvl w:val="0"/>
                <w:numId w:val="10"/>
              </w:numPr>
              <w:ind w:left="228" w:hanging="180"/>
              <w:rPr>
                <w:rFonts w:ascii="Times New Roman" w:hAnsi="Times New Roman" w:cs="Times New Roman"/>
                <w:sz w:val="16"/>
                <w:szCs w:val="16"/>
              </w:rPr>
            </w:pPr>
            <w:r>
              <w:rPr>
                <w:rFonts w:ascii="Times New Roman" w:hAnsi="Times New Roman" w:cs="Times New Roman"/>
                <w:sz w:val="16"/>
                <w:szCs w:val="16"/>
              </w:rPr>
              <w:t xml:space="preserve">Includes executive function issues, ADHD, sleeping disorders, and a host of others. </w:t>
            </w:r>
          </w:p>
          <w:p w14:paraId="4C67217E" w14:textId="77777777" w:rsidR="006B3412" w:rsidRPr="00584DC4" w:rsidRDefault="006B3412" w:rsidP="00A8683D">
            <w:pPr>
              <w:pStyle w:val="NoSpacing"/>
              <w:keepNext/>
              <w:rPr>
                <w:rFonts w:ascii="Times New Roman" w:hAnsi="Times New Roman" w:cs="Times New Roman"/>
                <w:sz w:val="16"/>
                <w:szCs w:val="16"/>
              </w:rPr>
            </w:pPr>
          </w:p>
        </w:tc>
        <w:tc>
          <w:tcPr>
            <w:tcW w:w="4680" w:type="dxa"/>
          </w:tcPr>
          <w:p w14:paraId="12E2FBC9" w14:textId="7B8B8506" w:rsidR="00A8683D" w:rsidRDefault="00A8683D" w:rsidP="00A8683D">
            <w:pPr>
              <w:pStyle w:val="NoSpacing"/>
              <w:numPr>
                <w:ilvl w:val="0"/>
                <w:numId w:val="10"/>
              </w:numPr>
              <w:ind w:left="228" w:hanging="180"/>
              <w:rPr>
                <w:rFonts w:ascii="Times New Roman" w:hAnsi="Times New Roman" w:cs="Times New Roman"/>
                <w:sz w:val="16"/>
                <w:szCs w:val="16"/>
              </w:rPr>
            </w:pPr>
            <w:r>
              <w:rPr>
                <w:rFonts w:ascii="Times New Roman" w:hAnsi="Times New Roman" w:cs="Times New Roman"/>
                <w:sz w:val="16"/>
                <w:szCs w:val="16"/>
              </w:rPr>
              <w:t xml:space="preserve">These impairments must be taken on a case-by-case basis because of the variety here. However, all of these impairments involve some level of difficulty in processing stimuli. </w:t>
            </w:r>
          </w:p>
          <w:p w14:paraId="04B5EC76" w14:textId="0448B551" w:rsidR="006B3412" w:rsidRPr="00584DC4" w:rsidRDefault="00A8683D" w:rsidP="00A8683D">
            <w:pPr>
              <w:pStyle w:val="NoSpacing"/>
              <w:numPr>
                <w:ilvl w:val="0"/>
                <w:numId w:val="10"/>
              </w:numPr>
              <w:ind w:left="228" w:hanging="180"/>
              <w:rPr>
                <w:rFonts w:ascii="Times New Roman" w:hAnsi="Times New Roman" w:cs="Times New Roman"/>
                <w:sz w:val="16"/>
                <w:szCs w:val="16"/>
              </w:rPr>
            </w:pPr>
            <w:r>
              <w:rPr>
                <w:rFonts w:ascii="Times New Roman" w:hAnsi="Times New Roman" w:cs="Times New Roman"/>
                <w:sz w:val="16"/>
                <w:szCs w:val="16"/>
              </w:rPr>
              <w:t xml:space="preserve">More time to complete assignments and clearer instructions are helpful. </w:t>
            </w:r>
          </w:p>
        </w:tc>
      </w:tr>
    </w:tbl>
    <w:p w14:paraId="2D81563B" w14:textId="1FAA4F81" w:rsidR="006B3412" w:rsidRPr="000B502B" w:rsidRDefault="006B3412" w:rsidP="00A8683D">
      <w:pPr>
        <w:pStyle w:val="Caption"/>
        <w:framePr w:h="1141" w:hRule="exact" w:hSpace="180" w:wrap="around" w:vAnchor="text" w:hAnchor="page" w:x="1160" w:y="7914"/>
        <w:rPr>
          <w:rFonts w:ascii="Times New Roman" w:hAnsi="Times New Roman" w:cs="Times New Roman"/>
          <w:sz w:val="24"/>
          <w:szCs w:val="24"/>
        </w:rPr>
      </w:pPr>
      <w:r w:rsidRPr="000B502B">
        <w:rPr>
          <w:rFonts w:ascii="Times New Roman" w:hAnsi="Times New Roman" w:cs="Times New Roman"/>
          <w:i w:val="0"/>
          <w:iCs w:val="0"/>
          <w:sz w:val="24"/>
          <w:szCs w:val="24"/>
        </w:rPr>
        <w:t xml:space="preserve">Source: </w:t>
      </w:r>
      <w:r w:rsidR="000B502B" w:rsidRPr="000B502B">
        <w:rPr>
          <w:rFonts w:ascii="Times New Roman" w:hAnsi="Times New Roman" w:cs="Times New Roman"/>
          <w:i w:val="0"/>
          <w:iCs w:val="0"/>
          <w:sz w:val="24"/>
          <w:szCs w:val="24"/>
        </w:rPr>
        <w:t xml:space="preserve">adapted from </w:t>
      </w:r>
      <w:r w:rsidR="00B036D5" w:rsidRPr="000B502B">
        <w:rPr>
          <w:rFonts w:ascii="Times New Roman" w:hAnsi="Times New Roman" w:cs="Times New Roman"/>
          <w:i w:val="0"/>
          <w:iCs w:val="0"/>
          <w:sz w:val="24"/>
          <w:szCs w:val="24"/>
        </w:rPr>
        <w:t>Anne M. Hayes et al</w:t>
      </w:r>
      <w:r w:rsidR="00B036D5" w:rsidRPr="000B502B">
        <w:rPr>
          <w:rFonts w:ascii="Times New Roman" w:hAnsi="Times New Roman" w:cs="Times New Roman"/>
          <w:sz w:val="24"/>
          <w:szCs w:val="24"/>
        </w:rPr>
        <w:t>., Learning Disabilities Screening and Evaluation Guide for Low- and Middle-Income Countries (RTI Press, April 30, 2018),</w:t>
      </w:r>
      <w:r w:rsidR="000B502B" w:rsidRPr="000B502B">
        <w:rPr>
          <w:rFonts w:ascii="Times New Roman" w:hAnsi="Times New Roman" w:cs="Times New Roman"/>
          <w:sz w:val="24"/>
          <w:szCs w:val="24"/>
        </w:rPr>
        <w:t xml:space="preserve"> 3.</w:t>
      </w:r>
      <w:r w:rsidR="00B036D5" w:rsidRPr="000B502B">
        <w:rPr>
          <w:rFonts w:ascii="Times New Roman" w:hAnsi="Times New Roman" w:cs="Times New Roman"/>
          <w:sz w:val="24"/>
          <w:szCs w:val="24"/>
        </w:rPr>
        <w:t xml:space="preserve"> </w:t>
      </w:r>
      <w:hyperlink r:id="rId10" w:history="1">
        <w:r w:rsidR="00B036D5" w:rsidRPr="000B502B">
          <w:rPr>
            <w:rStyle w:val="Hyperlink"/>
            <w:rFonts w:ascii="Times New Roman" w:hAnsi="Times New Roman" w:cs="Times New Roman"/>
            <w:sz w:val="24"/>
            <w:szCs w:val="24"/>
          </w:rPr>
          <w:t>https://www.rti.org/rti-press-publication/learning-disabilities-screening-and-evaluation-guide-low-and-middle-income</w:t>
        </w:r>
      </w:hyperlink>
      <w:r w:rsidR="00B036D5" w:rsidRPr="000B502B">
        <w:rPr>
          <w:rFonts w:ascii="Times New Roman" w:hAnsi="Times New Roman" w:cs="Times New Roman"/>
          <w:sz w:val="24"/>
          <w:szCs w:val="24"/>
        </w:rPr>
        <w:t>.</w:t>
      </w:r>
      <w:r w:rsidR="00706789" w:rsidRPr="000B502B">
        <w:rPr>
          <w:rFonts w:ascii="Times New Roman" w:hAnsi="Times New Roman" w:cs="Times New Roman"/>
          <w:i w:val="0"/>
          <w:iCs w:val="0"/>
          <w:sz w:val="24"/>
          <w:szCs w:val="24"/>
        </w:rPr>
        <w:t xml:space="preserve">; </w:t>
      </w:r>
      <w:r w:rsidRPr="000B502B">
        <w:rPr>
          <w:rFonts w:ascii="Times New Roman" w:hAnsi="Times New Roman" w:cs="Times New Roman"/>
          <w:i w:val="0"/>
          <w:iCs w:val="0"/>
          <w:sz w:val="24"/>
          <w:szCs w:val="24"/>
        </w:rPr>
        <w:t xml:space="preserve">US Department of Education IDEA website </w:t>
      </w:r>
      <w:hyperlink r:id="rId11" w:history="1">
        <w:r w:rsidRPr="000B502B">
          <w:rPr>
            <w:rStyle w:val="Hyperlink"/>
            <w:rFonts w:ascii="Times New Roman" w:hAnsi="Times New Roman" w:cs="Times New Roman"/>
            <w:i w:val="0"/>
            <w:iCs w:val="0"/>
            <w:sz w:val="24"/>
            <w:szCs w:val="24"/>
          </w:rPr>
          <w:t>https://sites.ed.gov/idea/regs/b/a/300.8/c</w:t>
        </w:r>
      </w:hyperlink>
      <w:r w:rsidRPr="000B502B">
        <w:rPr>
          <w:rFonts w:ascii="Times New Roman" w:hAnsi="Times New Roman" w:cs="Times New Roman"/>
          <w:i w:val="0"/>
          <w:iCs w:val="0"/>
          <w:sz w:val="24"/>
          <w:szCs w:val="24"/>
        </w:rPr>
        <w:t xml:space="preserve"> </w:t>
      </w:r>
    </w:p>
    <w:p w14:paraId="55D5D8CB" w14:textId="77777777" w:rsidR="006B3412" w:rsidRPr="00D15051" w:rsidRDefault="006B3412" w:rsidP="00A8683D">
      <w:pPr>
        <w:pStyle w:val="Caption"/>
        <w:framePr w:h="1141" w:hRule="exact" w:hSpace="180" w:wrap="around" w:vAnchor="text" w:hAnchor="page" w:x="1160" w:y="7914"/>
        <w:rPr>
          <w:rFonts w:ascii="Times New Roman" w:hAnsi="Times New Roman" w:cs="Times New Roman"/>
          <w:sz w:val="24"/>
          <w:szCs w:val="24"/>
        </w:rPr>
      </w:pPr>
    </w:p>
    <w:p w14:paraId="037991EA" w14:textId="4F1BF5A3" w:rsidR="00143611" w:rsidRPr="006C5314" w:rsidRDefault="00143611" w:rsidP="006522CB">
      <w:pPr>
        <w:pStyle w:val="Caption"/>
        <w:keepNext/>
        <w:ind w:left="-720" w:firstLine="720"/>
        <w:rPr>
          <w:rFonts w:ascii="Times New Roman" w:hAnsi="Times New Roman" w:cs="Times New Roman"/>
          <w:sz w:val="24"/>
          <w:szCs w:val="24"/>
        </w:rPr>
      </w:pPr>
      <w:r w:rsidRPr="006C5314">
        <w:rPr>
          <w:rFonts w:ascii="Times New Roman" w:hAnsi="Times New Roman" w:cs="Times New Roman"/>
          <w:b/>
          <w:bCs/>
          <w:i w:val="0"/>
          <w:iCs w:val="0"/>
          <w:sz w:val="24"/>
          <w:szCs w:val="24"/>
        </w:rPr>
        <w:t xml:space="preserve">Table </w:t>
      </w:r>
      <w:r w:rsidRPr="006C5314">
        <w:rPr>
          <w:rFonts w:ascii="Times New Roman" w:hAnsi="Times New Roman" w:cs="Times New Roman"/>
          <w:b/>
          <w:bCs/>
          <w:i w:val="0"/>
          <w:iCs w:val="0"/>
          <w:sz w:val="24"/>
          <w:szCs w:val="24"/>
        </w:rPr>
        <w:fldChar w:fldCharType="begin"/>
      </w:r>
      <w:r w:rsidRPr="006C5314">
        <w:rPr>
          <w:rFonts w:ascii="Times New Roman" w:hAnsi="Times New Roman" w:cs="Times New Roman"/>
          <w:b/>
          <w:bCs/>
          <w:i w:val="0"/>
          <w:iCs w:val="0"/>
          <w:sz w:val="24"/>
          <w:szCs w:val="24"/>
        </w:rPr>
        <w:instrText xml:space="preserve"> SEQ Table \* ARABIC </w:instrText>
      </w:r>
      <w:r w:rsidRPr="006C5314">
        <w:rPr>
          <w:rFonts w:ascii="Times New Roman" w:hAnsi="Times New Roman" w:cs="Times New Roman"/>
          <w:b/>
          <w:bCs/>
          <w:i w:val="0"/>
          <w:iCs w:val="0"/>
          <w:sz w:val="24"/>
          <w:szCs w:val="24"/>
        </w:rPr>
        <w:fldChar w:fldCharType="separate"/>
      </w:r>
      <w:r w:rsidR="00D556CA">
        <w:rPr>
          <w:rFonts w:ascii="Times New Roman" w:hAnsi="Times New Roman" w:cs="Times New Roman"/>
          <w:b/>
          <w:bCs/>
          <w:i w:val="0"/>
          <w:iCs w:val="0"/>
          <w:noProof/>
          <w:sz w:val="24"/>
          <w:szCs w:val="24"/>
        </w:rPr>
        <w:t>1</w:t>
      </w:r>
      <w:r w:rsidRPr="006C5314">
        <w:rPr>
          <w:rFonts w:ascii="Times New Roman" w:hAnsi="Times New Roman" w:cs="Times New Roman"/>
          <w:b/>
          <w:bCs/>
          <w:i w:val="0"/>
          <w:iCs w:val="0"/>
          <w:sz w:val="24"/>
          <w:szCs w:val="24"/>
        </w:rPr>
        <w:fldChar w:fldCharType="end"/>
      </w:r>
      <w:r w:rsidR="006522CB">
        <w:rPr>
          <w:rFonts w:ascii="Times New Roman" w:hAnsi="Times New Roman" w:cs="Times New Roman"/>
          <w:b/>
          <w:bCs/>
          <w:i w:val="0"/>
          <w:iCs w:val="0"/>
          <w:sz w:val="24"/>
          <w:szCs w:val="24"/>
        </w:rPr>
        <w:t>: Explanation of IDEA section 300.8(c)9-10</w:t>
      </w:r>
    </w:p>
    <w:p w14:paraId="500A0ACA" w14:textId="77777777" w:rsidR="00584DC4" w:rsidRDefault="00584DC4" w:rsidP="006522CB">
      <w:pPr>
        <w:pStyle w:val="Heading-Title"/>
        <w:sectPr w:rsidR="00584DC4" w:rsidSect="006B3412">
          <w:pgSz w:w="15840" w:h="12240" w:orient="landscape"/>
          <w:pgMar w:top="1440" w:right="1440" w:bottom="2160" w:left="1440" w:header="720" w:footer="720" w:gutter="0"/>
          <w:cols w:space="720"/>
          <w:titlePg/>
          <w:docGrid w:linePitch="360"/>
        </w:sectPr>
      </w:pPr>
    </w:p>
    <w:bookmarkEnd w:id="0"/>
    <w:p w14:paraId="01E93108" w14:textId="6A0AB22E" w:rsidR="00020337" w:rsidRPr="00C324E3" w:rsidRDefault="00020337" w:rsidP="002F57C0">
      <w:pPr>
        <w:spacing w:before="100" w:beforeAutospacing="1" w:after="100" w:afterAutospacing="1" w:line="480" w:lineRule="auto"/>
        <w:rPr>
          <w:sz w:val="20"/>
          <w:szCs w:val="20"/>
        </w:rPr>
      </w:pPr>
    </w:p>
    <w:sectPr w:rsidR="00020337" w:rsidRPr="00C324E3" w:rsidSect="00584DC4">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4D9D" w14:textId="77777777" w:rsidR="008F4F7F" w:rsidRDefault="008F4F7F">
      <w:r>
        <w:separator/>
      </w:r>
    </w:p>
  </w:endnote>
  <w:endnote w:type="continuationSeparator" w:id="0">
    <w:p w14:paraId="6EC4BB17" w14:textId="77777777" w:rsidR="008F4F7F" w:rsidRDefault="008F4F7F">
      <w:r>
        <w:continuationSeparator/>
      </w:r>
    </w:p>
  </w:endnote>
  <w:endnote w:id="1">
    <w:p w14:paraId="063FFE70" w14:textId="5A26AC7B" w:rsidR="00B036D5" w:rsidRPr="00B036D5" w:rsidRDefault="00B036D5" w:rsidP="00B036D5">
      <w:pPr>
        <w:pStyle w:val="EndnoteText"/>
        <w:ind w:firstLine="720"/>
        <w:rPr>
          <w:rFonts w:ascii="Times New Roman" w:hAnsi="Times New Roman" w:cs="Times New Roman"/>
        </w:rPr>
      </w:pPr>
      <w:r>
        <w:rPr>
          <w:rStyle w:val="EndnoteReference"/>
        </w:rPr>
        <w:endnoteRef/>
      </w:r>
      <w: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{"citationID":"9G9Vq4W9","properties":{"formattedCitation":"\\uc0\\u8220{}9,250 Apples for the Teacher.,\\uc0\\u8221{} accessed June 1, 2021, https://www.atarimagazines.com/creative/v9n10/178_9250_Apples_for_the_teac.php.","plainCitation":"“9,250 Apples for the Teacher.,” accessed June 1, 2021, https://www.atarimagazines.com/creative/v9n10/178_9250_Apples_for_the_teac.php.","noteIndex":1},"citationItems":[{"id":2332,"uris":["http://zotero.org/users/6986165/items/3PYDCLMZ"],"uri":["http://zotero.org/users/6986165/items/3PYDCLMZ"],"itemData":{"id":2332,"type":"webpage","title":"9,250 Apples for the teacher.","URL":"https://www.atarimagazines.com/creative/v9n10/178_9250_Apples_for_the_teac.php","accessed":{"date-parts":[["2021",6,1]]}}}],"schema":"https://github.com/citation-style-language/schema/raw/master/csl-citation.json"}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“9,250 Apples for the Teacher.,” accessed June 1, 2021, https://www.atarimagazines.com/creative/v9n10/178_9250_Apples_for_the_teac.php.</w:t>
      </w:r>
      <w:r w:rsidRPr="0097296D">
        <w:rPr>
          <w:rFonts w:ascii="Times New Roman" w:hAnsi="Times New Roman" w:cs="Times New Roman"/>
        </w:rPr>
        <w:fldChar w:fldCharType="end"/>
      </w:r>
    </w:p>
  </w:endnote>
  <w:endnote w:id="2">
    <w:p w14:paraId="0A042EAD" w14:textId="77777777" w:rsidR="00B036D5" w:rsidRDefault="00B036D5" w:rsidP="00B036D5">
      <w:pPr>
        <w:pStyle w:val="EndnoteText"/>
        <w:ind w:firstLine="720"/>
        <w:rPr>
          <w:rFonts w:ascii="Times New Roman" w:hAnsi="Times New Roman" w:cs="Times New Roman"/>
        </w:rPr>
      </w:pPr>
    </w:p>
    <w:p w14:paraId="5D7F513A" w14:textId="77777777" w:rsidR="00B036D5" w:rsidRPr="0097296D" w:rsidRDefault="00B036D5" w:rsidP="00B036D5">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{"citationID":"BwgVaUmf","properties":{"formattedCitation":"Sharan B. Merriam and Lisa Baumgartner, {\\i{}Learning in Adulthood: A Comprehensive Guide}, Fourth Edition., The Jossey-Bass higher and adult education series (San Francisco: Jossey-Bass, 2020).","plainCitation":"Sharan B. Merriam and Lisa Baumgartner, Learning in Adulthood: A Comprehensive Guide, Fourth Edition., The Jossey-Bass higher and adult education series (San Francisco: Jossey-Bass, 2020).","noteIndex":2},"citationItems":[{"id":2121,"uris":["http://zotero.org/users/6986165/items/STUDGCU6"],"uri":["http://zotero.org/users/6986165/items/STUDGCU6"],"itemData":{"id":2121,"type":"book","abstract":"\"This landmark work pulls together seminal work and current thinking on adult learning in one volume, providing a comprehensive, up-to-date overview and synthesis of what we now know about adult learning, including the context in which it takes place, who the participants are, what they learn and why, the nature of the learning process itself, major theoretical developments, and much more. Drawing from a background of work in sociology, philosophy, and critical social theory as well as psychology and education, the authors construct an inclusive perspective on adult learning, guiding readers toward new ways of thinking about teaching, learning, and the broader social implications of adult education. Comprehensive guide, complete and up-to-date. Historically the most authoritative guide in the field, with more than 80,000 copies sold life-to-date. Synthesis of latest developments in theory and research, with implications for practice. Experienced authors, leaders in the field\"--","call-number":"LC5225.L42 M47 2020","collection-title":"The Jossey-Bass higher and adult education series","edition":"Fourth Edition","event-place":"San Francisco","ISBN":"978-1-119-49048-7","publisher":"Jossey-Bass","publisher-place":"San Francisco","source":"Library of Congress ISBN","title":"Learning in adulthood: a comprehensive guide","title-short":"Learning in adulthood","author":[{"family":"Merriam","given":"Sharan B."},{"family":"Baumgartner","given":"Lisa"}],"issued":{"date-parts":[["2020"]]}}}],"schema":"https://github.com/citation-style-language/schema/raw/master/csl-citation.json"}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Sharan B. Merriam and Lisa Baumgartner, </w:t>
      </w:r>
      <w:r w:rsidRPr="0097296D">
        <w:rPr>
          <w:rFonts w:ascii="Times New Roman" w:hAnsi="Times New Roman" w:cs="Times New Roman"/>
          <w:i/>
          <w:iCs/>
        </w:rPr>
        <w:t>Learning in Adulthood: A Comprehensive Guide</w:t>
      </w:r>
      <w:r w:rsidRPr="0097296D">
        <w:rPr>
          <w:rFonts w:ascii="Times New Roman" w:hAnsi="Times New Roman" w:cs="Times New Roman"/>
        </w:rPr>
        <w:t xml:space="preserve">, </w:t>
      </w:r>
      <w:r>
        <w:rPr>
          <w:rFonts w:ascii="Times New Roman" w:hAnsi="Times New Roman" w:cs="Times New Roman"/>
        </w:rPr>
        <w:t>4th</w:t>
      </w:r>
      <w:r w:rsidRPr="0097296D">
        <w:rPr>
          <w:rFonts w:ascii="Times New Roman" w:hAnsi="Times New Roman" w:cs="Times New Roman"/>
        </w:rPr>
        <w:t xml:space="preserve"> Ed, Jossey-Bass</w:t>
      </w:r>
      <w:r>
        <w:rPr>
          <w:rFonts w:ascii="Times New Roman" w:hAnsi="Times New Roman" w:cs="Times New Roman"/>
        </w:rPr>
        <w:t>,</w:t>
      </w:r>
      <w:r w:rsidRPr="0097296D">
        <w:rPr>
          <w:rFonts w:ascii="Times New Roman" w:hAnsi="Times New Roman" w:cs="Times New Roman"/>
        </w:rPr>
        <w:t xml:space="preserve"> (San Francisco: Jossey-Bass, 2020).</w:t>
      </w:r>
      <w:r w:rsidRPr="0097296D">
        <w:rPr>
          <w:rFonts w:ascii="Times New Roman" w:hAnsi="Times New Roman" w:cs="Times New Roman"/>
        </w:rPr>
        <w:fldChar w:fldCharType="end"/>
      </w:r>
      <w:r w:rsidRPr="0097296D">
        <w:rPr>
          <w:rFonts w:ascii="Times New Roman" w:hAnsi="Times New Roman" w:cs="Times New Roman"/>
        </w:rPr>
        <w:t xml:space="preserve"> 26-27. </w:t>
      </w:r>
    </w:p>
  </w:endnote>
  <w:endnote w:id="3">
    <w:p w14:paraId="785C089D" w14:textId="77777777" w:rsidR="00B036D5" w:rsidRPr="0097296D" w:rsidRDefault="00B036D5" w:rsidP="00B036D5">
      <w:pPr>
        <w:pStyle w:val="EndnoteText"/>
        <w:rPr>
          <w:rFonts w:ascii="Times New Roman" w:hAnsi="Times New Roman" w:cs="Times New Roman"/>
        </w:rPr>
      </w:pPr>
    </w:p>
    <w:p w14:paraId="7DC37A79" w14:textId="77777777" w:rsidR="00B036D5" w:rsidRPr="008A0A9E" w:rsidRDefault="00B036D5" w:rsidP="00B036D5">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7C4434">
        <w:rPr>
          <w:rFonts w:ascii="Times New Roman" w:hAnsi="Times New Roman" w:cs="Times New Roman"/>
        </w:rPr>
        <w:t xml:space="preserve">Jason M. Lodge, Gregor Kennedy, and Lori Lockyer, “Digital Learning Environments, The Science of Learning, and the Relationship Between the Teacher and the Learner,” in </w:t>
      </w:r>
      <w:r w:rsidRPr="007C4434">
        <w:rPr>
          <w:rFonts w:ascii="Times New Roman" w:hAnsi="Times New Roman" w:cs="Times New Roman"/>
          <w:i/>
          <w:iCs/>
        </w:rPr>
        <w:t>Learning Under the Lens</w:t>
      </w:r>
      <w:r w:rsidRPr="007C4434">
        <w:rPr>
          <w:rFonts w:ascii="Times New Roman" w:hAnsi="Times New Roman" w:cs="Times New Roman"/>
        </w:rPr>
        <w:t xml:space="preserve">, ed. Annemaree Carroll, Ross Cunnington, and Annita Nugent, by Annemaree Carroll, Ross Cunnington, and Annita Nugent, 1st ed. (Routledge, 2020), 154–168. </w:t>
      </w:r>
    </w:p>
  </w:endnote>
  <w:endnote w:id="4">
    <w:p w14:paraId="4F3E7582" w14:textId="77777777" w:rsidR="00B036D5" w:rsidRPr="0097296D" w:rsidRDefault="00B036D5" w:rsidP="00B036D5">
      <w:pPr>
        <w:pStyle w:val="EndnoteText"/>
        <w:ind w:firstLine="720"/>
        <w:rPr>
          <w:rFonts w:ascii="Times New Roman" w:hAnsi="Times New Roman" w:cs="Times New Roman"/>
        </w:rPr>
      </w:pPr>
    </w:p>
    <w:p w14:paraId="2A2ED851" w14:textId="77777777" w:rsidR="00B036D5" w:rsidRPr="0097296D" w:rsidRDefault="00B036D5" w:rsidP="00B036D5">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{"citationID":"5mZg5Y76","properties":{"formattedCitation":"Cynthia Bansak and Martha Starr, \\uc0\\u8220{}Covid-19 Shocks to Education Supply: How 200,000 U.S. Households Dealt with the Sudden Shift to Distance Learning.,\\uc0\\u8221{} {\\i{}Review of Economics of the Household} 19, no. 1 (March 2021): 63\\uc0\\u8211{}90; Selwa El Firdoussi et al., \\uc0\\u8220{}Assessing Distance Learning in Higher Education during the COVID-19 Pandemic.,\\uc0\\u8221{} {\\i{}Education Research International} (December 30, 2020): 1\\uc0\\u8211{}13; Kenneth Kunz and Diane Lapp, \\uc0\\u8220{}NO LONGER DISTANT: Distance Learning Is Forever Emblazed as Our Teaching Reality.,\\uc0\\u8221{} {\\i{}Literacy Today (2411-7862)} 38, no. 1 (August 7, 2020): 8\\uc0\\u8211{}10.","plainCitation":"Cynthia Bansak and Martha Starr, “Covid-19 Shocks to Education Supply: How 200,000 U.S. Households Dealt with the Sudden Shift to Distance Learning.,” Review of Economics of the Household 19, no. 1 (March 2021): 63–90; Selwa El Firdoussi et al., “Assessing Distance Learning in Higher Education during the COVID-19 Pandemic.,” Education Research International (December 30, 2020): 1–13; Kenneth Kunz and Diane Lapp, “NO LONGER DISTANT: Distance Learning Is Forever Emblazed as Our Teaching Reality.,” Literacy Today (2411-7862) 38, no. 1 (August 7, 2020): 8–10.","noteIndex":4},"citationItems":[{"id":1641,"uris":["http://zotero.org/users/6986165/items/HBZG4D6S"],"uri":["http://zotero.org/users/6986165/items/HBZG4D6S"],"itemData":{"id":1641,"type":"article-journal","abstract":"Among the extraordinary shocks to household life caused by the Covid-19 pandemic was the sudden shift to distance learning in K-12 schools. Gone were Monday through Friday routines of school day, extracurricular activities, and evening homework; schools scrambled to launch alternative delivery systems, expecting parents to step in and spend significant amounts of time helping children continue to learn. This study examines the sudden shift to distance learning using data from U.S. Census Bureau's Household Pulse Survey. Conducted weekly from April through July 2020, the survey tracked COVID-related shocks to employment, health, food and housing security, and education in the U.S. population. We use Pulse data on 200,000 households with K-12 children to examine how school systems shifted, how parents stepped up and spent time helping children learn, how parental time inputs varied with parent education, and how education changes intersected with other pandemic shocks, including job loss and food insecurity. We find that parents and children spent significantly more time in learning activities when their schools provided diversified educational inputs, especially live contact time with teachers; live contact hours also facilitated children learning on their own. Given the type of alternative schooling, less educated parents spent no less time helping children than better educated parents, although they faced significantly more problems with computer and internet access. Thus, parents generally tried to help children continue learning in the pandemic, albeit with potentially wide variation in the resources they could supply to mitigate the drop in learning. [ABSTRACT FROM AUTHOR]","archive":"Complementary Index","container-title":"Review of Economics of the Household","ISSN":"15695239","issue":"1","journalAbbreviation":"Review of Economics of the Household","page":"63-90","source":"EBSCOhost","title":"Covid-19 shocks to education supply: how 200,000 U.S. households dealt with the sudden shift to distance learning.","volume":"19","author":[{"family":"Bansak","given":"Cynthia"},{"family":"Starr","given":"Martha"}],"issued":{"date-parts":[["2021",3]]}}},{"id":1796,"uris":["http://zotero.org/users/6986165/items/CYMWM93N"],"uri":["http://zotero.org/users/6986165/items/CYMWM93N"],"itemData":{"id":1796,"type":"article-journal","abstract":"This qualitative study is an investigation and assessment of distance learning in Morocco during the COVID-19 pandemic. This research surveyed 3037 students and 231 professors enrolled in different stages of higher education programs. It aims to investigate the limitations of e-learning platforms and how these activities take place at public and private Moroccan universities during the coronavirus confinement. For this purpose, two structured questionnaires were constructed by researchers from different specialties, and the type of data was based on the responses of students and professors from 15 universities. In this paper, we have used three methods: descriptive analysis, regression analysis, and qualitative response analysis. As a data analytics tool, Microsoft Power BI was used to analyze data, visualize it, and draw insights. In this study, both professors and students stated that online learning is not more interesting than ordinary learning and professors need to provide at least 50% of their teaching in face-to-face mode. Recommendations at teaching and technical levels, such as the need for technical support and training in the use of these tools, were provided to enhance and promote distance education in Morocco. The contribution of this paper comes as a result of data analysis obtained from a survey conducted in some famous Moroccan universities. [ABSTRACT FROM AUTHOR]","archive":"Complementary Index","container-title":"Education Research International","ISSN":"20904002","journalAbbreviation":"Education Research International","page":"1-13","source":"EBSCOhost","title":"Assessing Distance Learning in Higher Education during the COVID-19 Pandemic.","author":[{"family":"El Firdoussi","given":"Selwa"},{"family":"Lachgar","given":"Mohamed"},{"family":"Kabaili","given":"Hind"},{"family":"Rochdi","given":"Abdelali"},{"family":"Goujdami","given":"Driss"},{"family":"El Firdoussi","given":"Larbi"}],"issued":{"date-parts":[["2020",12,30]]}}},{"id":1651,"uris":["http://zotero.org/users/6986165/items/5PULA7UJ"],"uri":["http://zotero.org/users/6986165/items/5PULA7UJ"],"itemData":{"id":1651,"type":"article-journal","abstract":"The article focuses on early literacy instruction through remote learning. Topics discussed include the importance of providing explicit instruction, the use of several web resources such as WeVideo, YouTube and Zoom platforms by the state literacy associations as ways of connecting remotely and digitally with students, families and teachers; and the use of asynchronous instruction for supporting students. (English)","archive":"Literary Reference Center","container-title":"Literacy Today (2411-7862)","ISSN":"24117862","issue":"1","journalAbbreviation":"Literacy Today (2411-7862)","note":"publisher: International Literacy Association","page":"8-10","source":"EBSCOhost","title":"NO LONGER DISTANT: Distance learning is forever emblazed as our teaching reality.","volume":"38","author":[{"family":"Kunz","given":"Kenneth"},{"family":"Lapp","given":"Diane"}],"issued":{"date-parts":[["2020",8,7]]}}}],"schema":"https://github.com/citation-style-language/schema/raw/master/csl-citation.json"}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Cynthia Bansak and Martha Starr, “Covid-19 Shocks to Education Supply: How 200,000 U.S. Households Dealt with the Sudden Shift to Distance Learning,” </w:t>
      </w:r>
      <w:r w:rsidRPr="0097296D">
        <w:rPr>
          <w:rFonts w:ascii="Times New Roman" w:hAnsi="Times New Roman" w:cs="Times New Roman"/>
          <w:i/>
          <w:iCs/>
        </w:rPr>
        <w:t>Review of Economics of the Household</w:t>
      </w:r>
      <w:r w:rsidRPr="0097296D">
        <w:rPr>
          <w:rFonts w:ascii="Times New Roman" w:hAnsi="Times New Roman" w:cs="Times New Roman"/>
        </w:rPr>
        <w:t xml:space="preserve"> 19, no. 1 (March 2021): 63–90; Selwa El Firdoussi et al., “Assessing Distance Learning in Higher Education during the COVID-19 Pandemic.,” </w:t>
      </w:r>
      <w:r w:rsidRPr="0097296D">
        <w:rPr>
          <w:rFonts w:ascii="Times New Roman" w:hAnsi="Times New Roman" w:cs="Times New Roman"/>
          <w:i/>
          <w:iCs/>
        </w:rPr>
        <w:t>Education Research International</w:t>
      </w:r>
      <w:r w:rsidRPr="0097296D">
        <w:rPr>
          <w:rFonts w:ascii="Times New Roman" w:hAnsi="Times New Roman" w:cs="Times New Roman"/>
        </w:rPr>
        <w:t xml:space="preserve"> (December 30, 2020): 1–13; Kenneth Kunz and Diane Lapp, “N</w:t>
      </w:r>
      <w:r>
        <w:rPr>
          <w:rFonts w:ascii="Times New Roman" w:hAnsi="Times New Roman" w:cs="Times New Roman"/>
        </w:rPr>
        <w:t>o Longer Distant</w:t>
      </w:r>
      <w:r w:rsidRPr="0097296D">
        <w:rPr>
          <w:rFonts w:ascii="Times New Roman" w:hAnsi="Times New Roman" w:cs="Times New Roman"/>
        </w:rPr>
        <w:t xml:space="preserve">: Distance Learning Is Forever Emblazed as Our Teaching Reality.,” </w:t>
      </w:r>
      <w:r w:rsidRPr="0097296D">
        <w:rPr>
          <w:rFonts w:ascii="Times New Roman" w:hAnsi="Times New Roman" w:cs="Times New Roman"/>
          <w:i/>
          <w:iCs/>
        </w:rPr>
        <w:t>Literacy Today (2411-7862)</w:t>
      </w:r>
      <w:r w:rsidRPr="0097296D">
        <w:rPr>
          <w:rFonts w:ascii="Times New Roman" w:hAnsi="Times New Roman" w:cs="Times New Roman"/>
        </w:rPr>
        <w:t xml:space="preserve"> 38, no. 1 (August 7, 2020): 8–10.</w:t>
      </w:r>
      <w:r w:rsidRPr="0097296D">
        <w:rPr>
          <w:rFonts w:ascii="Times New Roman" w:hAnsi="Times New Roman" w:cs="Times New Roman"/>
        </w:rPr>
        <w:fldChar w:fldCharType="end"/>
      </w:r>
    </w:p>
  </w:endnote>
  <w:endnote w:id="5">
    <w:p w14:paraId="622D57F7" w14:textId="77777777" w:rsidR="00B036D5" w:rsidRDefault="00B036D5" w:rsidP="00B036D5">
      <w:pPr>
        <w:pStyle w:val="EndnoteText"/>
        <w:rPr>
          <w:rFonts w:ascii="Times New Roman" w:hAnsi="Times New Roman" w:cs="Times New Roman"/>
        </w:rPr>
      </w:pPr>
    </w:p>
    <w:p w14:paraId="009495F2" w14:textId="77777777" w:rsidR="00B036D5" w:rsidRPr="00706789" w:rsidRDefault="00B036D5" w:rsidP="00B036D5">
      <w:pPr>
        <w:pStyle w:val="EndnoteText"/>
        <w:ind w:firstLine="720"/>
        <w:rPr>
          <w:rFonts w:ascii="Times New Roman" w:hAnsi="Times New Roman" w:cs="Times New Roman"/>
        </w:rPr>
      </w:pPr>
      <w:r w:rsidRPr="00706789">
        <w:rPr>
          <w:rStyle w:val="EndnoteReference"/>
          <w:rFonts w:ascii="Times New Roman" w:hAnsi="Times New Roman" w:cs="Times New Roman"/>
        </w:rPr>
        <w:endnoteRef/>
      </w:r>
      <w:r w:rsidRPr="00706789">
        <w:rPr>
          <w:rFonts w:ascii="Times New Roman" w:hAnsi="Times New Roman" w:cs="Times New Roman"/>
        </w:rPr>
        <w:t xml:space="preserve"> </w:t>
      </w:r>
      <w:r w:rsidRPr="00706789">
        <w:rPr>
          <w:rFonts w:ascii="Times New Roman" w:hAnsi="Times New Roman" w:cs="Times New Roman"/>
        </w:rPr>
        <w:fldChar w:fldCharType="begin"/>
      </w:r>
      <w:r w:rsidRPr="00F449FF">
        <w:rPr>
          <w:rFonts w:ascii="Times New Roman" w:hAnsi="Times New Roman" w:cs="Times New Roman"/>
        </w:rPr>
        <w:instrText xml:space="preserve"> ADDIN ZOTERO_ITEM CSL_CITATION {"citationID":"x7KupkBx","properties":{"formattedCitation":"Catherine Beaton, \\uc0\\u8220{}Distance Learning as a Levelling Tool for People with Disabilities,\\uc0\\u8221{} {\\i{}2019 International Conference on Computational Science and Computational Intelligence (CSCI), Computational Science and Computational Intelligence (CSCI), 2019 International Conference on, CSCI} (December 1, 2019): 884\\uc0\\u8211{}887.","plainCitation":"Catherine Beaton, “Distance Learning as a Levelling Tool for People with Disabilities,” 2019 International Conference on Computational Science and Computational Intelligence (CSCI), Computational Science and Computational Intelligence (CSCI), 2019 International Conference on, CSCI (December 1, 2019): 884–887.","noteIndex":5},"citationItems":[{"id":1782,"uris":["http://zotero.org/users/6986165/items/FE55NGUS"],"uri":["http://zotero.org/users/6986165/items/FE55NGUS"],"itemData":{"id":1782,"type":"article-journal","abstract":"Distance learning has brought phenomenal changes to the educational playing field. In higher education, variances of distance learning can mean blended learning, flipped classrooms, or video modules/components. While distance learning results in no physical in-person interaction, online supplements physical interpersonal interactions. This paper will focus on distance learning in relation to people with disabilities, demonstrating the challenges that are faced with providing access to learners.","archive":"IEEE Xplore Digital Library","container-title":"2019 International Conference on Computational Science and Computational Intelligence (CSCI), Computational Science and Computational Intelligence (CSCI), 2019 International Conference on, CSCI","DOI":"10.1109/CSCI49370.2019.00168","ISSN":"978-1-7281-5584-5","journalAbbreviation":"2019 International Conference on Computational Science and Computational Intelligence (CSCI), Computational Science and Computational Intelligence (CSCI), 2019 International Conference on, CSCI","note":"publisher: IEEE","page":"884-887","source":"EBSCOhost","title":"Distance Learning as a Levelling Tool for People with Disabilities","author":[{"family":"Beaton","given":"Catherine"}],"issued":{"date-parts":[["2019",12,1]]}}}],"schema":"https://github.com/citation-style-language/schema/raw/master/csl-citation.json"} </w:instrText>
      </w:r>
      <w:r w:rsidRPr="00706789">
        <w:rPr>
          <w:rFonts w:ascii="Times New Roman" w:hAnsi="Times New Roman" w:cs="Times New Roman"/>
        </w:rPr>
        <w:fldChar w:fldCharType="separate"/>
      </w:r>
      <w:r w:rsidRPr="00706789">
        <w:rPr>
          <w:rFonts w:ascii="Times New Roman" w:hAnsi="Times New Roman" w:cs="Times New Roman"/>
        </w:rPr>
        <w:t xml:space="preserve">Catherine Beaton, “Distance Learning as a Levelling Tool for People with Disabilities,” </w:t>
      </w:r>
      <w:r w:rsidRPr="00706789">
        <w:rPr>
          <w:rFonts w:ascii="Times New Roman" w:hAnsi="Times New Roman" w:cs="Times New Roman"/>
          <w:i/>
          <w:iCs/>
        </w:rPr>
        <w:t>2019 International Conference on Computational Science and Computational Intelligence (CSCI), Computational Science and Computational Intelligence (CSCI), 2019 International Conference on, CSCI</w:t>
      </w:r>
      <w:r w:rsidRPr="00F449FF">
        <w:rPr>
          <w:rFonts w:ascii="Times New Roman" w:hAnsi="Times New Roman" w:cs="Times New Roman"/>
        </w:rPr>
        <w:t xml:space="preserve"> (December 1, 2019): 884–87.</w:t>
      </w:r>
      <w:r w:rsidRPr="00706789">
        <w:rPr>
          <w:rFonts w:ascii="Times New Roman" w:hAnsi="Times New Roman" w:cs="Times New Roman"/>
        </w:rPr>
        <w:fldChar w:fldCharType="end"/>
      </w:r>
    </w:p>
  </w:endnote>
  <w:endnote w:id="6">
    <w:p w14:paraId="64F2C2E3" w14:textId="77777777" w:rsidR="00706789" w:rsidRPr="00F449FF" w:rsidRDefault="00706789" w:rsidP="00550E17">
      <w:pPr>
        <w:pStyle w:val="EndnoteText"/>
        <w:ind w:firstLine="720"/>
        <w:rPr>
          <w:rFonts w:ascii="Times New Roman" w:hAnsi="Times New Roman" w:cs="Times New Roman"/>
        </w:rPr>
      </w:pPr>
    </w:p>
    <w:p w14:paraId="5AACE228" w14:textId="0549562A" w:rsidR="00706789" w:rsidRPr="00706789" w:rsidRDefault="00706789" w:rsidP="00550E17">
      <w:pPr>
        <w:pStyle w:val="EndnoteText"/>
        <w:ind w:firstLine="720"/>
        <w:rPr>
          <w:rFonts w:ascii="Times New Roman" w:hAnsi="Times New Roman" w:cs="Times New Roman"/>
        </w:rPr>
      </w:pPr>
      <w:r w:rsidRPr="00706789">
        <w:rPr>
          <w:rStyle w:val="EndnoteReference"/>
          <w:rFonts w:ascii="Times New Roman" w:hAnsi="Times New Roman" w:cs="Times New Roman"/>
        </w:rPr>
        <w:endnoteRef/>
      </w:r>
      <w:r w:rsidRPr="00706789">
        <w:rPr>
          <w:rFonts w:ascii="Times New Roman" w:hAnsi="Times New Roman" w:cs="Times New Roman"/>
        </w:rPr>
        <w:t xml:space="preserve"> </w:t>
      </w:r>
      <w:r w:rsidRPr="00706789">
        <w:rPr>
          <w:rFonts w:ascii="Times New Roman" w:hAnsi="Times New Roman" w:cs="Times New Roman"/>
        </w:rPr>
        <w:fldChar w:fldCharType="begin"/>
      </w:r>
      <w:r w:rsidRPr="00F449FF">
        <w:rPr>
          <w:rFonts w:ascii="Times New Roman" w:hAnsi="Times New Roman" w:cs="Times New Roman"/>
        </w:rPr>
        <w:instrText xml:space="preserve"> ADDIN ZOTERO_ITEM CSL_CITATION {"citationID":"NRYFt1Qf","properties":{"formattedCitation":"Richard Aldrich, \\uc0\\u8220{}Neuroscience, Education and the Evolution of the Human Brain.,\\uc0\\u8221{} {\\i{}History of Education} 42, no. 3 (May 2013): 396\\uc0\\u8211{}410.","plainCitation":"Richard Aldrich, “Neuroscience, Education and the Evolution of the Human Brain.,” History of Education 42, no. 3 (May 2013): 396–410.","noteIndex":6},"citationItems":[{"id":2339,"uris":["http://zotero.org/users/6986165/items/Z8887MPM"],"uri":["http://zotero.org/users/6986165/items/Z8887MPM"],"itemData":{"id":2339,"type":"article-journal","abstract":"This article has two purposes. The first is to bring current developments in neuroscience, including educational neuroscience, to the attention of historians of education. The second is to demonstrate how historians of education, in common with philosophers, psychologists and sociologists, can contribute to this new field. Education has replaced natural selection in human evolution. Symbolic representations, speech, memory, writing, printing, screen-based communications and various mood-changing activities have shaped and are continuing to shape the human brain. It is argued here that by taking a longer historical perspective and recognising the brain as a palimpsest or kluge, historians of education can help to explain the limitations of neuroplasticity and some of the fundamental problems that beset formal educational systems. Just as education needs to be afforded a more central role in the history of human evolution, so the brain needs to be given a more central role in the history of education. [ABSTRACT FROM AUTHOR]","archive":"Professional Development Collection","container-title":"History of Education","ISSN":"0046760X","issue":"3","journalAbbreviation":"History of Education","note":"publisher: Routledge","page":"396-410","source":"EBSCOhost","title":"Neuroscience, education and the evolution of the human brain.","volume":"42","author":[{"family":"Aldrich","given":"Richard"}],"issued":{"date-parts":[["2013",5]]}}}],"schema":"https://github.com/citation-style-language/schema/raw/master/csl-citation.json"} </w:instrText>
      </w:r>
      <w:r w:rsidRPr="00706789">
        <w:rPr>
          <w:rFonts w:ascii="Times New Roman" w:hAnsi="Times New Roman" w:cs="Times New Roman"/>
        </w:rPr>
        <w:fldChar w:fldCharType="separate"/>
      </w:r>
      <w:r w:rsidRPr="00706789">
        <w:rPr>
          <w:rFonts w:ascii="Times New Roman" w:hAnsi="Times New Roman" w:cs="Times New Roman"/>
        </w:rPr>
        <w:t xml:space="preserve">Richard Aldrich, “Neuroscience, Education and the Evolution of the Human Brain,” </w:t>
      </w:r>
      <w:r w:rsidRPr="00706789">
        <w:rPr>
          <w:rFonts w:ascii="Times New Roman" w:hAnsi="Times New Roman" w:cs="Times New Roman"/>
          <w:i/>
          <w:iCs/>
        </w:rPr>
        <w:t>History of Education</w:t>
      </w:r>
      <w:r w:rsidRPr="00706789">
        <w:rPr>
          <w:rFonts w:ascii="Times New Roman" w:hAnsi="Times New Roman" w:cs="Times New Roman"/>
        </w:rPr>
        <w:t xml:space="preserve"> 42, no. 3 (May 2013): 396–410.</w:t>
      </w:r>
      <w:r w:rsidRPr="00706789">
        <w:rPr>
          <w:rFonts w:ascii="Times New Roman" w:hAnsi="Times New Roman" w:cs="Times New Roman"/>
        </w:rPr>
        <w:fldChar w:fldCharType="end"/>
      </w:r>
      <w:r w:rsidRPr="00706789">
        <w:rPr>
          <w:rFonts w:ascii="Times New Roman" w:hAnsi="Times New Roman" w:cs="Times New Roman"/>
        </w:rPr>
        <w:t xml:space="preserve"> </w:t>
      </w:r>
    </w:p>
  </w:endnote>
  <w:endnote w:id="7">
    <w:p w14:paraId="3387E6ED" w14:textId="77777777" w:rsidR="00706789" w:rsidRPr="00F449FF" w:rsidRDefault="00706789" w:rsidP="00BA6BBE">
      <w:pPr>
        <w:pStyle w:val="EndnoteText"/>
        <w:ind w:firstLine="720"/>
        <w:rPr>
          <w:rFonts w:ascii="Times New Roman" w:hAnsi="Times New Roman" w:cs="Times New Roman"/>
        </w:rPr>
      </w:pPr>
    </w:p>
    <w:p w14:paraId="75D94800" w14:textId="47ED3425" w:rsidR="00706789" w:rsidRPr="00F449FF" w:rsidRDefault="00706789" w:rsidP="00BA6BBE">
      <w:pPr>
        <w:pStyle w:val="EndnoteText"/>
        <w:ind w:firstLine="720"/>
        <w:rPr>
          <w:rFonts w:ascii="Times New Roman" w:hAnsi="Times New Roman" w:cs="Times New Roman"/>
        </w:rPr>
      </w:pPr>
      <w:r w:rsidRPr="00706789">
        <w:rPr>
          <w:rStyle w:val="EndnoteReference"/>
          <w:rFonts w:ascii="Times New Roman" w:hAnsi="Times New Roman" w:cs="Times New Roman"/>
        </w:rPr>
        <w:endnoteRef/>
      </w:r>
      <w:r w:rsidRPr="00706789">
        <w:rPr>
          <w:rFonts w:ascii="Times New Roman" w:hAnsi="Times New Roman" w:cs="Times New Roman"/>
        </w:rPr>
        <w:t xml:space="preserve"> </w:t>
      </w:r>
      <w:r w:rsidRPr="00706789">
        <w:rPr>
          <w:rFonts w:ascii="Times New Roman" w:hAnsi="Times New Roman" w:cs="Times New Roman"/>
        </w:rPr>
        <w:fldChar w:fldCharType="begin"/>
      </w:r>
      <w:r w:rsidRPr="00F449FF">
        <w:rPr>
          <w:rFonts w:ascii="Times New Roman" w:hAnsi="Times New Roman" w:cs="Times New Roman"/>
        </w:rPr>
        <w:instrText xml:space="preserve"> ADDIN ZOTERO_ITEM CSL_CITATION {"citationID":"ZvV3ZFKe","properties":{"formattedCitation":"Glenn Whitman and Ian Kelleher, {\\i{}Neuroteach: Brain Science and the Future of Education} (Lanham: Rowman &amp; Littlefield, 2016).","plainCitation":"Glenn Whitman and Ian Kelleher, Neuroteach: Brain Science and the Future of Education (Lanham: Rowman &amp; Littlefield, 2016).","noteIndex":7},"citationItems":[{"id":2118,"uris":["http://zotero.org/users/6986165/items/EK73EIQW"],"uri":["http://zotero.org/users/6986165/items/EK73EIQW"],"itemData":{"id":2118,"type":"book","call-number":"QP360.5 .W47 2016","event-place":"Lanham","ISBN":"978-1-4758-2534-3","number-of-pages":"224","publisher":"Rowman &amp; Littlefield","publisher-place":"Lanham","source":"Library of Congress ISBN","title":"Neuroteach: brain science and the future of education","title-short":"Neuroteach","author":[{"family":"Whitman","given":"Glenn"},{"family":"Kelleher","given":"Ian"}],"issued":{"date-parts":[["2016"]]}}}],"schema":"https://github.com/citation-style-language/schema/raw/master/csl-citation.json"} </w:instrText>
      </w:r>
      <w:r w:rsidRPr="00706789">
        <w:rPr>
          <w:rFonts w:ascii="Times New Roman" w:hAnsi="Times New Roman" w:cs="Times New Roman"/>
        </w:rPr>
        <w:fldChar w:fldCharType="separate"/>
      </w:r>
      <w:r w:rsidRPr="00706789">
        <w:rPr>
          <w:rFonts w:ascii="Times New Roman" w:hAnsi="Times New Roman" w:cs="Times New Roman"/>
        </w:rPr>
        <w:t xml:space="preserve">Glenn Whitman and Ian Kelleher, </w:t>
      </w:r>
      <w:r w:rsidRPr="00706789">
        <w:rPr>
          <w:rFonts w:ascii="Times New Roman" w:hAnsi="Times New Roman" w:cs="Times New Roman"/>
          <w:i/>
          <w:iCs/>
        </w:rPr>
        <w:t>Neuroteach: Brain Science and the Future of Education</w:t>
      </w:r>
      <w:r w:rsidRPr="00706789">
        <w:rPr>
          <w:rFonts w:ascii="Times New Roman" w:hAnsi="Times New Roman" w:cs="Times New Roman"/>
        </w:rPr>
        <w:t xml:space="preserve"> (Lanham: Rowman &amp; Littlefield, 2016).</w:t>
      </w:r>
      <w:r w:rsidRPr="00706789">
        <w:rPr>
          <w:rFonts w:ascii="Times New Roman" w:hAnsi="Times New Roman" w:cs="Times New Roman"/>
        </w:rPr>
        <w:fldChar w:fldCharType="end"/>
      </w:r>
      <w:r w:rsidRPr="00706789">
        <w:rPr>
          <w:rFonts w:ascii="Times New Roman" w:hAnsi="Times New Roman" w:cs="Times New Roman"/>
        </w:rPr>
        <w:t xml:space="preserve"> </w:t>
      </w:r>
    </w:p>
  </w:endnote>
  <w:endnote w:id="8">
    <w:p w14:paraId="0D8B0DF1" w14:textId="77777777" w:rsidR="00706789" w:rsidRPr="00F449FF" w:rsidRDefault="00706789" w:rsidP="00F660CC">
      <w:pPr>
        <w:pStyle w:val="EndnoteText"/>
        <w:ind w:firstLine="720"/>
        <w:rPr>
          <w:rFonts w:ascii="Times New Roman" w:hAnsi="Times New Roman" w:cs="Times New Roman"/>
        </w:rPr>
      </w:pPr>
    </w:p>
    <w:p w14:paraId="58D4D102" w14:textId="7B8A565D" w:rsidR="00706789" w:rsidRPr="00F449FF" w:rsidRDefault="00706789" w:rsidP="00F660CC">
      <w:pPr>
        <w:pStyle w:val="EndnoteText"/>
        <w:ind w:firstLine="720"/>
        <w:rPr>
          <w:rFonts w:ascii="Times New Roman" w:hAnsi="Times New Roman" w:cs="Times New Roman"/>
        </w:rPr>
      </w:pPr>
      <w:r w:rsidRPr="00706789">
        <w:rPr>
          <w:rStyle w:val="EndnoteReference"/>
          <w:rFonts w:ascii="Times New Roman" w:hAnsi="Times New Roman" w:cs="Times New Roman"/>
        </w:rPr>
        <w:endnoteRef/>
      </w:r>
      <w:r w:rsidRPr="00706789">
        <w:rPr>
          <w:rFonts w:ascii="Times New Roman" w:hAnsi="Times New Roman" w:cs="Times New Roman"/>
        </w:rPr>
        <w:t xml:space="preserve"> </w:t>
      </w:r>
      <w:r w:rsidRPr="00706789">
        <w:rPr>
          <w:rFonts w:ascii="Times New Roman" w:hAnsi="Times New Roman" w:cs="Times New Roman"/>
        </w:rPr>
        <w:fldChar w:fldCharType="begin"/>
      </w:r>
      <w:r w:rsidRPr="00F449FF">
        <w:rPr>
          <w:rFonts w:ascii="Times New Roman" w:hAnsi="Times New Roman" w:cs="Times New Roman"/>
        </w:rPr>
        <w:instrText xml:space="preserve"> ADDIN ZOTERO_ITEM CSL_CITATION {"citationID":"hnxIvxaF","properties":{"formattedCitation":"Helen J. Boon, \\uc0\\u8220{}What Do ADHD Neuroimaging Studies Reveal for Teachers, Teacher Educators and Inclusive Education?,\\uc0\\u8221{} {\\i{}Child &amp; Youth Care Forum} 49, no. 4 (August 2020): 533\\uc0\\u8211{}561.","plainCitation":"Helen J. Boon, “What Do ADHD Neuroimaging Studies Reveal for Teachers, Teacher Educators and Inclusive Education?,” Child &amp; Youth Care Forum 49, no. 4 (August 2020): 533–561.","noteIndex":8},"citationItems":[{"id":1802,"uris":["http://zotero.org/users/6986165/items/J9DME96R"],"uri":["http://zotero.org/users/6986165/items/J9DME96R"],"itemData":{"id":1802,"type":"article-journal","abstract":"Background: Ongoing debate about Attention Deficit Hyperactivity Disorder (ADHD) has not resolved ambivalent teacher beliefs about ADHD. This is an important matter since teachers' beliefs influence their pedagogy, classroom management, and their referral procedures for formal diagnoses of ADHD. They therefore must be provided with up-to-date professional learning about ADHD. Objective: To synthesise neuroimaging studies, which examined differences in brain organisation and function in those with ADHD compared to matched unaffected controls. The overarching goal was to enhance teachers' understanding of ADHD by providing synthesised research findings around the neurological basis of ADHD. Method: The PRISMA method was used to search the Medline, PsycINFO, Web of Science and Scopus databases to complete a systematic review of peer-reviewed research that compared individuals with ADHD with matched controls published between 2010 and December 2015. Results: The identification and analyses of 174 MRI and fMRI relevant studies across a sample of over 24,000 showed that there are significant differences in neural anatomy and processing in ADHD compared to unaffected matched controls. Conclusions: Compelling evidence shows ADHD is a neurodevelopmental disability, not a socially determined set of behaviours. Results point to an urgent need for teacher professional learning and systematic up-to-date preservice teacher education along with inclusive education policy reform. [ABSTRACT FROM AUTHOR]","archive":"Small Business Reference Center","container-title":"Child &amp; Youth Care Forum","ISSN":"10531890","issue":"4","journalAbbreviation":"Child &amp; Youth Care Forum","note":"publisher: Springer Nature","page":"533-561","source":"EBSCOhost","title":"What do ADHD Neuroimaging Studies Reveal for Teachers, Teacher Educators and Inclusive Education?","volume":"49","author":[{"family":"Boon","given":"Helen J."}],"issued":{"date-parts":[["2020",8]]}}}],"schema":"https://github.com/citation-style-language/schema/raw/master/csl-citation.json"} </w:instrText>
      </w:r>
      <w:r w:rsidRPr="00706789">
        <w:rPr>
          <w:rFonts w:ascii="Times New Roman" w:hAnsi="Times New Roman" w:cs="Times New Roman"/>
        </w:rPr>
        <w:fldChar w:fldCharType="separate"/>
      </w:r>
      <w:r w:rsidRPr="00706789">
        <w:rPr>
          <w:rFonts w:ascii="Times New Roman" w:hAnsi="Times New Roman" w:cs="Times New Roman"/>
        </w:rPr>
        <w:t xml:space="preserve">Helen J. Boon, “What Do ADHD Neuroimaging Studies Reveal for Teachers, Teacher Educators and Inclusive Education?” </w:t>
      </w:r>
      <w:r w:rsidRPr="00706789">
        <w:rPr>
          <w:rFonts w:ascii="Times New Roman" w:hAnsi="Times New Roman" w:cs="Times New Roman"/>
          <w:i/>
          <w:iCs/>
        </w:rPr>
        <w:t>Child &amp; Youth Care Forum</w:t>
      </w:r>
      <w:r w:rsidRPr="00706789">
        <w:rPr>
          <w:rFonts w:ascii="Times New Roman" w:hAnsi="Times New Roman" w:cs="Times New Roman"/>
        </w:rPr>
        <w:t xml:space="preserve"> 49, no. 4 (August 2020): 533–561.</w:t>
      </w:r>
      <w:r w:rsidRPr="00706789">
        <w:rPr>
          <w:rFonts w:ascii="Times New Roman" w:hAnsi="Times New Roman" w:cs="Times New Roman"/>
        </w:rPr>
        <w:fldChar w:fldCharType="end"/>
      </w:r>
      <w:r w:rsidRPr="00706789">
        <w:rPr>
          <w:rFonts w:ascii="Times New Roman" w:hAnsi="Times New Roman" w:cs="Times New Roman"/>
        </w:rPr>
        <w:t xml:space="preserve"> </w:t>
      </w:r>
    </w:p>
  </w:endnote>
  <w:endnote w:id="9">
    <w:p w14:paraId="382200F4" w14:textId="77777777" w:rsidR="00706789" w:rsidRPr="008A0A9E" w:rsidRDefault="00706789">
      <w:pPr>
        <w:pStyle w:val="EndnoteText"/>
        <w:rPr>
          <w:rFonts w:ascii="Times New Roman" w:hAnsi="Times New Roman" w:cs="Times New Roman"/>
        </w:rPr>
      </w:pPr>
    </w:p>
    <w:p w14:paraId="30077D30" w14:textId="2218418F" w:rsidR="00706789" w:rsidRPr="008A0A9E" w:rsidRDefault="00706789" w:rsidP="008A0A9E">
      <w:pPr>
        <w:pStyle w:val="EndnoteText"/>
        <w:ind w:firstLine="720"/>
        <w:rPr>
          <w:rFonts w:ascii="Times New Roman" w:hAnsi="Times New Roman" w:cs="Times New Roman"/>
        </w:rPr>
      </w:pPr>
      <w:r w:rsidRPr="008A0A9E">
        <w:rPr>
          <w:rStyle w:val="EndnoteReference"/>
          <w:rFonts w:ascii="Times New Roman" w:hAnsi="Times New Roman" w:cs="Times New Roman"/>
        </w:rPr>
        <w:endnoteRef/>
      </w:r>
      <w:r w:rsidRPr="008A0A9E">
        <w:rPr>
          <w:rFonts w:ascii="Times New Roman" w:hAnsi="Times New Roman" w:cs="Times New Roman"/>
        </w:rPr>
        <w:t xml:space="preserve"> Lynn </w:t>
      </w:r>
      <w:r w:rsidRPr="008A0A9E">
        <w:rPr>
          <w:rFonts w:ascii="Times New Roman" w:hAnsi="Times New Roman" w:cs="Times New Roman"/>
        </w:rPr>
        <w:t xml:space="preserve">Clouder et al., “Neurodiversity in Higher Education: A Narrative Synthesis,” </w:t>
      </w:r>
      <w:r w:rsidRPr="008A0A9E">
        <w:rPr>
          <w:rFonts w:ascii="Times New Roman" w:hAnsi="Times New Roman" w:cs="Times New Roman"/>
          <w:i/>
          <w:iCs/>
        </w:rPr>
        <w:t>Higher Education: The International Journal of Higher Education Research</w:t>
      </w:r>
      <w:r w:rsidRPr="008A0A9E">
        <w:rPr>
          <w:rFonts w:ascii="Times New Roman" w:hAnsi="Times New Roman" w:cs="Times New Roman"/>
        </w:rPr>
        <w:t xml:space="preserve"> 80, no. 4 (October 1, 2020): 757–778.</w:t>
      </w:r>
    </w:p>
  </w:endnote>
  <w:endnote w:id="10">
    <w:p w14:paraId="25701746" w14:textId="77777777" w:rsidR="00706789" w:rsidRPr="00706789" w:rsidRDefault="00706789" w:rsidP="008A0A9E">
      <w:pPr>
        <w:pStyle w:val="EndnoteText"/>
        <w:rPr>
          <w:rFonts w:ascii="Times New Roman" w:hAnsi="Times New Roman" w:cs="Times New Roman"/>
        </w:rPr>
      </w:pPr>
    </w:p>
    <w:p w14:paraId="0BD3DB2C" w14:textId="05201A6F" w:rsidR="00706789" w:rsidRPr="0097296D" w:rsidRDefault="00706789" w:rsidP="004807F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{"citationID":"U0V6UaQL","properties":{"formattedCitation":"\\uc0\\u8220{}Types of Learning Disabilities \\uc0\\u8211{} Learning Disabilities Association of America,\\uc0\\u8221{} n.d., accessed May 22, 2021, https://ldaamerica.org/types-of-learning-disabilities/.","plainCitation":"“Types of Learning Disabilities – Learning Disabilities Association of America,” n.d., accessed May 22, 2021, https://ldaamerica.org/types-of-learning-disabilities/.","noteIndex":9},"citationItems":[{"id":2075,"uris":["http://zotero.org/users/6986165/items/7LMPURR3"],"uri":["http://zotero.org/users/6986165/items/7LMPURR3"],"itemData":{"id":2075,"type":"post-weblog","language":"en-US","title":"Types of Learning Disabilities – Learning Disabilities Association of America","URL":"https://ldaamerica.org/types-of-learning-disabilities/","accessed":{"date-parts":[["2021",5,22]]}}}],"schema":"https://github.com/citation-style-language/schema/raw/master/csl-citation.json"}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“Types of Learning Disabilities – Learning Disabilities Association of America,” n.d., accessed May 22, 2021, https://ldaamerica.org/types-of-learning-disabilities.</w:t>
      </w:r>
      <w:r w:rsidRPr="0097296D">
        <w:rPr>
          <w:rFonts w:ascii="Times New Roman" w:hAnsi="Times New Roman" w:cs="Times New Roman"/>
        </w:rPr>
        <w:fldChar w:fldCharType="end"/>
      </w:r>
    </w:p>
  </w:endnote>
  <w:endnote w:id="11">
    <w:p w14:paraId="38CF7DA1" w14:textId="77777777" w:rsidR="00706789" w:rsidRPr="0097296D" w:rsidRDefault="00706789" w:rsidP="008E25DF">
      <w:pPr>
        <w:pStyle w:val="EndnoteText"/>
        <w:ind w:firstLine="720"/>
        <w:rPr>
          <w:rFonts w:ascii="Times New Roman" w:hAnsi="Times New Roman" w:cs="Times New Roman"/>
        </w:rPr>
      </w:pPr>
    </w:p>
    <w:p w14:paraId="19F7B35F" w14:textId="710B3BCB" w:rsidR="00706789" w:rsidRPr="0097296D" w:rsidRDefault="00706789" w:rsidP="008E25DF">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{"citationID":"3z6qMYuL","properties":{"formattedCitation":"Lynn Clouder et al., \\uc0\\u8220{}Neurodiversity in Higher Education: A Narrative Synthesis,\\uc0\\u8221{} {\\i{}Higher Education: The International Journal of Higher Education Research} 80, no. 4 (October 1, 2020): 757\\uc0\\u8211{}778.","plainCitation":"Lynn Clouder et al., “Neurodiversity in Higher Education: A Narrative Synthesis,” Higher Education: The International Journal of Higher Education Research 80, no. 4 (October 1, 2020): 757–778.","noteIndex":10},"citationItems":[{"id":1905,"uris":["http://zotero.org/users/6986165/items/BCSQFUDT"],"uri":["http://zotero.org/users/6986165/items/BCSQFUDT"],"itemData":{"id":1905,"type":"article-journal","abstract":"Neurodiversity is an umbrella term, including dyspraxia, dyslexia, attention deficit hyperactivity disorder, dyscalculia, autistic spectrum and Tourette syndrome. The increasing number of students with learning difficulties associated with neurodiversity entering higher education (HE) poses a shared and growing challenge internationally for teachers and institutional leaders. This narrative synthesis draws together a corpus of international literature on how neurodiverse students experience higher education and the ways in which higher education institutions respond to the cluster of neurodiverse conditions. A systematic review was carried out to search, retrieve, appraise and synthesize the available evidence to provide an original contribution to the literature and significant insights of worth to higher education internationally. An inclusive approach to data extraction was used to ensure that all the relevant studies were included. All stages of the review process, including the initial search, screening, sample selection and analysis, are described. Three main themes and 11 subthemes were identified. Although the majority of publications focus on either dyslexia, autistic spectrum disorder, or ADHD, some common themes are evident in student experience across learning difficulties associated with neurodiversity. Although support services and technologies are available to meet students' specific needs, there is an apparent dislocation between the two. Fear of stigmatization and labelling worsens the divide between what is needed and what is available to ensure neurodiverse students' success in higher education, where good intentions are evidently not enough.","archive":"ERIC","archive_location":"Springer. Available from: Springer Nature. One New York Plaza, Suite 4600, New York, NY 10004. Tel: 800-777-4643; Tel: 212-460-1500; Fax: 212-460-1700; e-mail: customerservice@springernature.com; Web site: https://link.springer.com/","container-title":"Higher Education: The International Journal of Higher Education Research","ISSN":"0018-1560","issue":"4","journalAbbreviation":"Higher Education: The International Journal of Higher Education Research","note":"publisher: Higher Education: The International Journal of Higher Education Research","page":"757-778","source":"EBSCOhost","title":"Neurodiversity in Higher Education: A Narrative Synthesis","volume":"80","author":[{"family":"Clouder","given":"Lynn"},{"family":"Karakus","given":"Mehmet"},{"family":"Cinotti","given":"Alessia"},{"family":"Ferreyra","given":"María Virginia"},{"family":"Fierros","given":"Genoveva Amador"},{"family":"Rojo","given":"Patricia"}],"issued":{"date-parts":[["2020",10,1]]}}}],"schema":"https://github.com/citation-style-language/schema/raw/master/csl-citation.json"}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Lynn Clouder et al., “Neurodiversity in Higher Education: A Narrative Synthesis,” </w:t>
      </w:r>
      <w:r w:rsidRPr="0097296D">
        <w:rPr>
          <w:rFonts w:ascii="Times New Roman" w:hAnsi="Times New Roman" w:cs="Times New Roman"/>
          <w:i/>
          <w:iCs/>
        </w:rPr>
        <w:t>Higher Education: The International Journal of Higher Education Research</w:t>
      </w:r>
      <w:r w:rsidRPr="0097296D">
        <w:rPr>
          <w:rFonts w:ascii="Times New Roman" w:hAnsi="Times New Roman" w:cs="Times New Roman"/>
        </w:rPr>
        <w:t xml:space="preserve"> 80, no. 4 (October 1, 2020): 757–778.</w:t>
      </w:r>
      <w:r w:rsidRPr="0097296D">
        <w:rPr>
          <w:rFonts w:ascii="Times New Roman" w:hAnsi="Times New Roman" w:cs="Times New Roman"/>
        </w:rPr>
        <w:fldChar w:fldCharType="end"/>
      </w:r>
      <w:r w:rsidRPr="0097296D">
        <w:rPr>
          <w:rFonts w:ascii="Times New Roman" w:hAnsi="Times New Roman" w:cs="Times New Roman"/>
        </w:rPr>
        <w:t xml:space="preserve"> </w:t>
      </w:r>
    </w:p>
  </w:endnote>
  <w:endnote w:id="12">
    <w:p w14:paraId="00EAA9CC" w14:textId="77777777" w:rsidR="00706789" w:rsidRPr="0097296D" w:rsidRDefault="00706789" w:rsidP="008A0A9E">
      <w:pPr>
        <w:pStyle w:val="EndnoteText"/>
        <w:rPr>
          <w:rFonts w:ascii="Times New Roman" w:hAnsi="Times New Roman" w:cs="Times New Roman"/>
        </w:rPr>
      </w:pPr>
    </w:p>
    <w:p w14:paraId="74BF0EAB" w14:textId="57C77E6A" w:rsidR="00706789" w:rsidRPr="0097296D" w:rsidRDefault="00706789" w:rsidP="004807F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{"citationID":"Oa88r9k5","properties":{"formattedCitation":"Seleta LeAnn Bunch, \\uc0\\u8220{}Experiences of Students with Specific Learning Disorder (Including ADHD) in Online College Degree Programs: A Phenomenological Study,\\uc0\\u8221{} {\\i{}ProQuest Dissertations and Theses} (Ed.D., Liberty University, 2016), http://aaron.swbts.edu/login?url=https://www.proquest.com/dissertations-theses/experiences-students-with-specific-learning/docview/1796863952/se-2?accountid=7073.","plainCitation":"Seleta LeAnn Bunch, “Experiences of Students with Specific Learning Disorder (Including ADHD) in Online College Degree Programs: A Phenomenological Study,” ProQuest Dissertations and Theses (Ed.D., Liberty University, 2016), http://aaron.swbts.edu/login?url=https://www.proquest.com/dissertations-theses/experiences-students-with-specific-learning/docview/1796863952/se-2?accountid=7073.","noteIndex":11},"citationItems":[{"id":2103,"uris":["http://zotero.org/users/6986165/items/PX3VLDZE"],"uri":["http://zotero.org/users/6986165/items/PX3VLDZE"],"itemData":{"id":2103,"type":"thesis","abstract":"Enrollment in online degree programs is rapidly expanding due to the convenience and affordability offered to students and improvements in technology. The purpose of this hermeneutical phenomenological study was to understand the shared experiences of students with documented specific learning disorders (including Attention-Deficit/Hyperactivity Disorder) enrolled in online degree programs at a large, faith-based university in the Southeast United States. Colleges and universities must follow federal mandates as recommended by the Office of Civil Rights for students with documented disabilities in both traditional and online settings. Research is lacking in the area of understanding the experiences of students with specific learning disorder (including ADHD) in online college degree programs. Students with specific learning disorder (including ADHD) participated in an online focus group and in semi-structured individual interviews to share their experiences as online learners. The following research questions were addressed: How do students with documented specific learning disorders describe their experience in the university online learning environment? How do participants with documented specific learning disorder describe their reported experiences using accommodations in the online learning environment? What benefits are perceived by students with documented specific learning disorder in the university online learning environment? What challenges are perceived by students with documented specific learning disorder in the online university learning environment? Challenges and benefits of online degree programs, ideas for improving online degree programs, internal characteristics for success, and external motivators for degree completion were the identified themes.","archive":"ProQuest Dissertations &amp; Theses Global: The Humanities and Social Sciences Collection","archive_location":"1796863952","event-place":"Ann Arbor","genre":"Ed.D.","language":"English","note":"ISBN: 978-1-339-73248-0\ncontainer-title: ProQuest Dissertations and Theses\n10109983","number-of-pages":"191","publisher":"Liberty University","publisher-place":"Ann Arbor","title":"Experiences of students with specific learning disorder (including ADHD) in online college degree programs: A phenomenological study","URL":"http://aaron.swbts.edu/login?url=https://www.proquest.com/dissertations-theses/experiences-students-with-specific-learning/docview/1796863952/se-2?accountid=7073","author":[{"family":"Bunch","given":"Seleta LeAnn"}],"issued":{"date-parts":[["2016"]]}}}],"schema":"https://github.com/citation-style-language/schema/raw/master/csl-citation.json"}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Seleta LeAnn Bunch, “Experiences of Students with Specific Learning Disorder (Including ADHD) in Online College Degree Programs: A Phenomenological Study,” </w:t>
      </w:r>
      <w:r w:rsidRPr="0097296D">
        <w:rPr>
          <w:rFonts w:ascii="Times New Roman" w:hAnsi="Times New Roman" w:cs="Times New Roman"/>
          <w:i/>
          <w:iCs/>
        </w:rPr>
        <w:t>ProQuest Dissertations and Theses</w:t>
      </w:r>
      <w:r w:rsidRPr="0097296D">
        <w:rPr>
          <w:rFonts w:ascii="Times New Roman" w:hAnsi="Times New Roman" w:cs="Times New Roman"/>
        </w:rPr>
        <w:t xml:space="preserve"> (Ed.D., Liberty University, 2016).</w:t>
      </w:r>
      <w:r w:rsidRPr="0097296D">
        <w:rPr>
          <w:rFonts w:ascii="Times New Roman" w:hAnsi="Times New Roman" w:cs="Times New Roman"/>
        </w:rPr>
        <w:fldChar w:fldCharType="end"/>
      </w:r>
      <w:r w:rsidRPr="0097296D">
        <w:rPr>
          <w:rFonts w:ascii="Times New Roman" w:hAnsi="Times New Roman" w:cs="Times New Roman"/>
        </w:rPr>
        <w:t xml:space="preserve"> </w:t>
      </w:r>
    </w:p>
  </w:endnote>
  <w:endnote w:id="13">
    <w:p w14:paraId="73D19FAA" w14:textId="77777777" w:rsidR="00706789" w:rsidRPr="0097296D" w:rsidRDefault="00706789" w:rsidP="008A0A9E">
      <w:pPr>
        <w:pStyle w:val="EndnoteText"/>
        <w:rPr>
          <w:rFonts w:ascii="Times New Roman" w:hAnsi="Times New Roman" w:cs="Times New Roman"/>
        </w:rPr>
      </w:pPr>
    </w:p>
    <w:p w14:paraId="4B73A2B1" w14:textId="156B8521" w:rsidR="00706789" w:rsidRPr="0097296D" w:rsidRDefault="00706789" w:rsidP="0077708C">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Jillian Budd et al., “Postsecondary Students with Specific Learning Disabilities and with Attention Deficit Hyperactivity Disorder Should Not Be Considered as a Unified Group for Research or Practice,” </w:t>
      </w:r>
      <w:r w:rsidRPr="0097296D">
        <w:rPr>
          <w:rFonts w:ascii="Times New Roman" w:hAnsi="Times New Roman" w:cs="Times New Roman"/>
          <w:i/>
          <w:iCs/>
        </w:rPr>
        <w:t>Journal of Education and Training Studies</w:t>
      </w:r>
      <w:r w:rsidRPr="0097296D">
        <w:rPr>
          <w:rFonts w:ascii="Times New Roman" w:hAnsi="Times New Roman" w:cs="Times New Roman"/>
        </w:rPr>
        <w:t xml:space="preserve"> 4, no. 4 (April 1, 2016): 207–208.</w:t>
      </w:r>
    </w:p>
  </w:endnote>
  <w:endnote w:id="14">
    <w:p w14:paraId="72F21B9D" w14:textId="77777777" w:rsidR="00706789" w:rsidRPr="0097296D" w:rsidRDefault="00706789" w:rsidP="004807F2">
      <w:pPr>
        <w:pStyle w:val="EndnoteText"/>
        <w:ind w:firstLine="720"/>
        <w:rPr>
          <w:rFonts w:ascii="Times New Roman" w:hAnsi="Times New Roman" w:cs="Times New Roman"/>
        </w:rPr>
      </w:pPr>
    </w:p>
    <w:p w14:paraId="0D8E4386" w14:textId="1E6BB01E" w:rsidR="00706789" w:rsidRDefault="00706789" w:rsidP="00C64533">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{"citationID":"z6fkzHzE","properties":{"formattedCitation":"\\uc0\\u8220{}ARCHIVED - IDEA 35 -- Celebration of the 35th Anniversary of the Individuals with Disabilities Education Act (IDEA),\\uc0\\u8221{} Announcements; Events, last modified April 27, 2016, accessed May 22, 2021, https://www2.ed.gov/about/offices/list/osers/idea35/index.html; Ganiah I. Ain, {\\i{}Higher Education for Individuals with Disabilities}, {\\i{}Online Submission} (Online Submission, October 20, 2016), ERIC, http://aaron.swbts.edu/login?url=https://search.ebscohost.com/login.aspx?direct=true&amp;db=eric&amp;AN=ED593346&amp;site=eds-live.","plainCitation":"“ARCHIVED - IDEA 35 -- Celebration of the 35th Anniversary of the Individuals with Disabilities Education Act (IDEA),” Announcements; Events, last modified April 27, 2016, accessed May 22, 2021, https://www2.ed.gov/about/offices/list/osers/idea35/index.html; Ganiah I. Ain, Higher Education for Individuals with Disabilities, Online Submission (Online Submission, October 20, 2016), ERIC, http://aaron.swbts.edu/login?url=https://search.ebscohost.com/login.aspx?direct=true&amp;db=eric&amp;AN=ED593346&amp;site=eds-live.","noteIndex":13},"citationItems":[{"id":2073,"uris":["http://zotero.org/users/6986165/items/JVJ6JTDI"],"uri":["http://zotero.org/users/6986165/items/JVJ6JTDI"],"itemData":{"id":2073,"type":"webpage","abstract":"ARCHIVED - IDEA 35 -- Celebration of the 35th Anniversary of the Individuals with Disabilities Education Act (IDEA)","genre":"Announcements; Events","language":"en","title":"ARCHIVED - IDEA 35 -- Celebration of the 35th Anniversary of the Individuals with Disabilities Education Act (IDEA)","URL":"https://www2.ed.gov/about/offices/list/osers/idea35/index.html","accessed":{"date-parts":[["2021",5,22]]},"issued":{"date-parts":[["2016",4,27]]}}},{"id":1859,"uris":["http://zotero.org/users/6986165/items/PUJ6U2CH"],"uri":["http://zotero.org/users/6986165/items/PUJ6U2CH"],"itemData":{"id":1859,"type":"report","abstract":"In the past, universities did not offer equal opportunities for students with disabilities. Therefore, the principle of transitioning to higher education for students with disabilities was inscribed in legislation. This paper analyzes some legal provisions governing students with disabilities. The present study is essential for recognizing the rights of post-secondary students living with disabilities. Studying the legal provisions concerning the treatment of these learners is critical for ensuring that these provisions receive emphasis and support. Thus, this paper contributes substantially to ensuring that students with disabilities can access post-secondary education and prosper in life. The paper focuses on the possible legislation and special barriers that impede access to quality higher education for people with disabilities. Each topic is treated under the banner of policymakers. The paper examines federal laws aimed at addressing the issue of equality, especially for marginalized students with disabilities, and the options and requirements for ensuring the implementation of better systems that respect students with disabilities. The paper also concentrates on potential amendments to laws that will create more opportunities for students with disabilities. Moreover, it discusses the present accommodations, if any, to facilitate these students' smooth transition to higher education and employment. With this, it highlights special barriers that students face while undergoing their transitions and to existing program articles to make it easy for students with disabilities to access and success in higher education. The paper also touches on student financial aid, provisions for housing, and the use of assistive technology in higher education.","archive":"ERIC","note":"journalAbbreviation: Online Submission\ncontainer-title: Online Submission","publisher":"Online Submission","source":"EBSCOhost","title":"Higher Education for Individuals with Disabilities","URL":"http://aaron.swbts.edu/login?url=https://search.ebscohost.com/login.aspx?direct=true&amp;db=eric&amp;AN=ED593346&amp;site=eds-live","author":[{"family":"Ain","given":"Ganiah I."}],"issued":{"date-parts":[["2016",10,20]]}}}],"schema":"https://github.com/citation-style-language/schema/raw/master/csl-citation.json"}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“ARCHIVED - IDEA 35 -- Celebration of the 35th Anniversary of the Individuals with Disabilities Education Act (IDEA),” Announcements; Events, last modified April 27, 2016, accessed May 22, 2021, https://www2.ed.gov/about/offices/list/osers/idea35/index.html; Ganiah I. Ain, </w:t>
      </w:r>
      <w:r w:rsidRPr="0097296D">
        <w:rPr>
          <w:rFonts w:ascii="Times New Roman" w:hAnsi="Times New Roman" w:cs="Times New Roman"/>
          <w:i/>
          <w:iCs/>
        </w:rPr>
        <w:t>Higher Education for Individuals with Disabilities</w:t>
      </w:r>
      <w:r w:rsidRPr="0097296D">
        <w:rPr>
          <w:rFonts w:ascii="Times New Roman" w:hAnsi="Times New Roman" w:cs="Times New Roman"/>
        </w:rPr>
        <w:t xml:space="preserve">, </w:t>
      </w:r>
      <w:r w:rsidRPr="0097296D">
        <w:rPr>
          <w:rFonts w:ascii="Times New Roman" w:hAnsi="Times New Roman" w:cs="Times New Roman"/>
          <w:i/>
          <w:iCs/>
        </w:rPr>
        <w:t>Online Submission</w:t>
      </w:r>
      <w:r w:rsidRPr="0097296D">
        <w:rPr>
          <w:rFonts w:ascii="Times New Roman" w:hAnsi="Times New Roman" w:cs="Times New Roman"/>
        </w:rPr>
        <w:t xml:space="preserve"> (Online Submission, October 20, 2016), ERIC</w:t>
      </w:r>
      <w:r w:rsidR="008A0A9E">
        <w:rPr>
          <w:rFonts w:ascii="Times New Roman" w:hAnsi="Times New Roman" w:cs="Times New Roman"/>
        </w:rPr>
        <w:t>.</w:t>
      </w:r>
      <w:r w:rsidRPr="0097296D">
        <w:rPr>
          <w:rFonts w:ascii="Times New Roman" w:hAnsi="Times New Roman" w:cs="Times New Roman"/>
        </w:rPr>
        <w:fldChar w:fldCharType="end"/>
      </w:r>
      <w:r w:rsidRPr="0097296D">
        <w:rPr>
          <w:rFonts w:ascii="Times New Roman" w:hAnsi="Times New Roman" w:cs="Times New Roman"/>
        </w:rPr>
        <w:t xml:space="preserve"> </w:t>
      </w:r>
    </w:p>
    <w:p w14:paraId="6A25F817" w14:textId="77777777" w:rsidR="008A0A9E" w:rsidRPr="0097296D" w:rsidRDefault="008A0A9E" w:rsidP="00C64533">
      <w:pPr>
        <w:pStyle w:val="EndnoteText"/>
        <w:ind w:firstLine="720"/>
        <w:rPr>
          <w:rFonts w:ascii="Times New Roman" w:hAnsi="Times New Roman" w:cs="Times New Roman"/>
        </w:rPr>
      </w:pPr>
    </w:p>
  </w:endnote>
  <w:endnote w:id="15">
    <w:p w14:paraId="0D87A122" w14:textId="77777777" w:rsidR="008A0A9E" w:rsidRDefault="00706789" w:rsidP="00C64533">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{"citationID":"FiNcvXVV","properties":{"formattedCitation":"Joel Klemes et al., \\uc0\\u8220{}An Assistive Computerized Learning Environment for Distance Learning Students with Learning Disabilities.,\\uc0\\u8221{} {\\i{}Open Learning} 21, no. 1 (February 2006): 19\\uc0\\u8211{}32.","plainCitation":"Joel Klemes et al., “An Assistive Computerized Learning Environment for Distance Learning Students with Learning Disabilities.,” Open Learning 21, no. 1 (February 2006): 19–32.","noteIndex":14},"citationItems":[{"id":1798,"uris":["http://zotero.org/users/6986165/items/CIUT693S"],"uri":["http://zotero.org/users/6986165/items/CIUT693S"],"itemData":{"id":1798,"type":"article-journal","abstract":"The current study examines how a computerized learning environment assists students with learning disabilities (LD) enrolled in a distance learning course at the Open University of Israel. The technology provides computer display of the text, synchronized with auditory output and accompanied by additional computerized study skill tools which support learning. Since the technology is not based on language-specific synthetic voice output, it can be operated in any language. The results of the study suggest that the assistive technology tested in this study is highly beneficial to students with LD who are studying from a distance. The prospects of its implementation for students with LD in distance learning academic institutions, at a time when their number in these institutions is increasing, are discussed. [ABSTRACT FROM AUTHOR]","archive":"Professional Development Collection","container-title":"Open Learning","ISSN":"02680513","issue":"1","journalAbbreviation":"Open Learning","note":"publisher: Routledge","page":"19-32","source":"EBSCOhost","title":"An assistive computerized learning environment for distance learning students with learning disabilities.","volume":"21","author":[{"family":"Klemes","given":"Joel"},{"family":"Epstein","given":"Alit"},{"family":"Zuker","given":"Michal"},{"family":"Grinberg","given":"Nira"},{"family":"Ilovitch","given":"Tamar"}],"issued":{"date-parts":[["2006",2]]}}}],"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Joel Klemes et al., “An Assistive Computerized Learning Environment for Distance Learning Students with Learning Disabilities.,” </w:t>
      </w:r>
      <w:r w:rsidRPr="0097296D">
        <w:rPr>
          <w:rFonts w:ascii="Times New Roman" w:hAnsi="Times New Roman" w:cs="Times New Roman"/>
          <w:i/>
          <w:iCs/>
        </w:rPr>
        <w:t>Open Learning</w:t>
      </w:r>
      <w:r w:rsidRPr="0097296D">
        <w:rPr>
          <w:rFonts w:ascii="Times New Roman" w:hAnsi="Times New Roman" w:cs="Times New Roman"/>
        </w:rPr>
        <w:t xml:space="preserve"> 21, no. 1 (February 2006): 19–32.</w:t>
      </w:r>
      <w:r w:rsidRPr="0097296D">
        <w:rPr>
          <w:rFonts w:ascii="Times New Roman" w:hAnsi="Times New Roman" w:cs="Times New Roman"/>
        </w:rPr>
        <w:fldChar w:fldCharType="end"/>
      </w:r>
      <w:r w:rsidRPr="0097296D">
        <w:rPr>
          <w:rFonts w:ascii="Times New Roman" w:hAnsi="Times New Roman" w:cs="Times New Roman"/>
        </w:rPr>
        <w:t xml:space="preserve"> </w:t>
      </w:r>
    </w:p>
    <w:p w14:paraId="4D6425F6" w14:textId="1197F466" w:rsidR="00706789" w:rsidRPr="0097296D" w:rsidRDefault="00706789" w:rsidP="00C64533">
      <w:pPr>
        <w:pStyle w:val="EndnoteText"/>
        <w:ind w:firstLine="720"/>
        <w:rPr>
          <w:rFonts w:ascii="Times New Roman" w:hAnsi="Times New Roman" w:cs="Times New Roman"/>
        </w:rPr>
      </w:pPr>
      <w:r w:rsidRPr="0097296D">
        <w:rPr>
          <w:rFonts w:ascii="Times New Roman" w:hAnsi="Times New Roman" w:cs="Times New Roman"/>
        </w:rPr>
        <w:t xml:space="preserve"> </w:t>
      </w:r>
    </w:p>
  </w:endnote>
  <w:endnote w:id="16">
    <w:p w14:paraId="7D3B61E0" w14:textId="78293261" w:rsidR="00706789" w:rsidRDefault="00706789" w:rsidP="008A0A9E">
      <w:pPr>
        <w:pStyle w:val="EndnoteText"/>
        <w:ind w:firstLine="720"/>
        <w:rPr>
          <w:rFonts w:ascii="Times New Roman" w:hAnsi="Times New Roman" w:cs="Times New Roman"/>
        </w:rPr>
      </w:pPr>
      <w:r w:rsidRPr="006E167D">
        <w:rPr>
          <w:rStyle w:val="EndnoteReference"/>
          <w:rFonts w:ascii="Times New Roman" w:hAnsi="Times New Roman" w:cs="Times New Roman"/>
        </w:rPr>
        <w:endnoteRef/>
      </w:r>
      <w:r w:rsidRPr="006E167D">
        <w:rPr>
          <w:rFonts w:ascii="Times New Roman" w:hAnsi="Times New Roman" w:cs="Times New Roman"/>
        </w:rPr>
        <w:t xml:space="preserve"> Peter </w:t>
      </w:r>
      <w:r w:rsidRPr="006E167D">
        <w:rPr>
          <w:rFonts w:ascii="Times New Roman" w:hAnsi="Times New Roman" w:cs="Times New Roman"/>
        </w:rPr>
        <w:t xml:space="preserve">Blanck, “Why America Is Better Off Because of the Americans with Disabilities Act and the Individuals with Disabilities Education Act.,” </w:t>
      </w:r>
      <w:r w:rsidRPr="006E167D">
        <w:rPr>
          <w:rFonts w:ascii="Times New Roman" w:hAnsi="Times New Roman" w:cs="Times New Roman"/>
          <w:i/>
          <w:iCs/>
        </w:rPr>
        <w:t>Touro Law Review</w:t>
      </w:r>
      <w:r w:rsidRPr="006E167D">
        <w:rPr>
          <w:rFonts w:ascii="Times New Roman" w:hAnsi="Times New Roman" w:cs="Times New Roman"/>
        </w:rPr>
        <w:t xml:space="preserve"> 35, no</w:t>
      </w:r>
      <w:r>
        <w:rPr>
          <w:rFonts w:ascii="Times New Roman" w:hAnsi="Times New Roman" w:cs="Times New Roman"/>
        </w:rPr>
        <w:t>.</w:t>
      </w:r>
      <w:r w:rsidRPr="006E167D">
        <w:rPr>
          <w:rFonts w:ascii="Times New Roman" w:hAnsi="Times New Roman" w:cs="Times New Roman"/>
        </w:rPr>
        <w:t xml:space="preserve"> 1 (January 2019): 60</w:t>
      </w:r>
      <w:r>
        <w:rPr>
          <w:rFonts w:ascii="Times New Roman" w:hAnsi="Times New Roman" w:cs="Times New Roman"/>
        </w:rPr>
        <w:t>9</w:t>
      </w:r>
      <w:r w:rsidRPr="006E167D">
        <w:rPr>
          <w:rFonts w:ascii="Times New Roman" w:hAnsi="Times New Roman" w:cs="Times New Roman"/>
        </w:rPr>
        <w:t>.</w:t>
      </w:r>
      <w:r>
        <w:rPr>
          <w:rFonts w:ascii="Times New Roman" w:hAnsi="Times New Roman" w:cs="Times New Roman"/>
        </w:rPr>
        <w:t xml:space="preserve"> </w:t>
      </w:r>
    </w:p>
    <w:p w14:paraId="5F7E9DB6" w14:textId="77777777" w:rsidR="008A0A9E" w:rsidRDefault="008A0A9E" w:rsidP="008A0A9E">
      <w:pPr>
        <w:pStyle w:val="EndnoteText"/>
        <w:ind w:firstLine="720"/>
      </w:pPr>
    </w:p>
  </w:endnote>
  <w:endnote w:id="17">
    <w:p w14:paraId="674EEDDE" w14:textId="65A7DD28" w:rsidR="00706789" w:rsidRDefault="00706789" w:rsidP="00C64533">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{"citationID":"avCjBL9i","properties":{"formattedCitation":"Mike Kent, \\uc0\\u8220{}Disability and ELearning: Opportunities and Barriers.,\\uc0\\u8221{} {\\i{}Disability Studies Quarterly} 35, no. 1 (2015): 4\\uc0\\u8211{}4.","plainCitation":"Mike Kent, “Disability and ELearning: Opportunities and Barriers.,” Disability Studies Quarterly 35, no. 1 (2015): 4–4.","noteIndex":15},"citationItems":[{"id":1949,"uris":["http://zotero.org/users/6986165/items/5859F7VT"],"uri":["http://zotero.org/users/6986165/items/5859F7VT"],"itemData":{"id":1949,"type":"article-journal","abstract":"This paper explores the current rising rates of online learning in higher education. It examines how disability is activated differently online and the impact of this on learning and teaching through the internet and the accessibility of two of the most popular learning management systems, Blackboard and Moodle, and the different approaches, benefits and problems associated with each system. It then explores the eLearning environment beyond the structure of a LMS to a broader digital campus that includes social networks, video hosting sites and micro blogging, where students and staff are increasingly expanding the learning and social environment in higher education. It also questions the legal and moral responsibilities of universities to make all their online activities accessible to all students, regardless of disability. [ABSTRACT FROM AUTHOR]","archive":"Supplemental Index","container-title":"Disability Studies Quarterly","ISSN":"10415718","issue":"1","journalAbbreviation":"Disability Studies Quarterly","page":"4-4","source":"EBSCOhost","title":"Disability and eLearning: Opportunities and Barriers.","volume":"35","author":[{"family":"Kent","given":"Mike"}],"issued":{"date-parts":[["2015"]]}}}],"schema":"https://github.com/citation-style-language/schema/raw/master/csl-citation.json"}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Mike Kent, “Disability and ELearning: Opportunities and Barriers.,” </w:t>
      </w:r>
      <w:r w:rsidRPr="0097296D">
        <w:rPr>
          <w:rFonts w:ascii="Times New Roman" w:hAnsi="Times New Roman" w:cs="Times New Roman"/>
          <w:i/>
          <w:iCs/>
        </w:rPr>
        <w:t>Disability Studies Quarterly</w:t>
      </w:r>
      <w:r w:rsidRPr="0097296D">
        <w:rPr>
          <w:rFonts w:ascii="Times New Roman" w:hAnsi="Times New Roman" w:cs="Times New Roman"/>
        </w:rPr>
        <w:t xml:space="preserve"> 35, no. 1 (2015): 4.</w:t>
      </w:r>
      <w:r w:rsidRPr="0097296D">
        <w:rPr>
          <w:rFonts w:ascii="Times New Roman" w:hAnsi="Times New Roman" w:cs="Times New Roman"/>
        </w:rPr>
        <w:fldChar w:fldCharType="end"/>
      </w:r>
    </w:p>
    <w:p w14:paraId="73DC2484" w14:textId="77777777" w:rsidR="008A0A9E" w:rsidRPr="0097296D" w:rsidRDefault="008A0A9E" w:rsidP="00C64533">
      <w:pPr>
        <w:pStyle w:val="EndnoteText"/>
        <w:ind w:firstLine="720"/>
        <w:rPr>
          <w:rFonts w:ascii="Times New Roman" w:hAnsi="Times New Roman" w:cs="Times New Roman"/>
        </w:rPr>
      </w:pPr>
    </w:p>
  </w:endnote>
  <w:endnote w:id="18">
    <w:p w14:paraId="4C75906C" w14:textId="13320103" w:rsidR="00706789" w:rsidRDefault="00706789" w:rsidP="00C64533">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James Riley Estep, Michael J. Anthony, and Gregg R. Allison, </w:t>
      </w:r>
      <w:r w:rsidRPr="0097296D">
        <w:rPr>
          <w:rFonts w:ascii="Times New Roman" w:hAnsi="Times New Roman" w:cs="Times New Roman"/>
          <w:i/>
          <w:iCs/>
        </w:rPr>
        <w:t>A Theology for Christian Education</w:t>
      </w:r>
      <w:r w:rsidRPr="0097296D">
        <w:rPr>
          <w:rFonts w:ascii="Times New Roman" w:hAnsi="Times New Roman" w:cs="Times New Roman"/>
        </w:rPr>
        <w:t xml:space="preserve"> (Nashville: B&amp;H Academic, 2008</w:t>
      </w:r>
      <w:r>
        <w:rPr>
          <w:rFonts w:ascii="Times New Roman" w:hAnsi="Times New Roman" w:cs="Times New Roman"/>
        </w:rPr>
        <w:t>)</w:t>
      </w:r>
      <w:r w:rsidR="00C64533">
        <w:rPr>
          <w:rFonts w:ascii="Times New Roman" w:hAnsi="Times New Roman" w:cs="Times New Roman"/>
        </w:rPr>
        <w:t>,</w:t>
      </w:r>
      <w:r w:rsidRPr="0097296D">
        <w:rPr>
          <w:rFonts w:ascii="Times New Roman" w:hAnsi="Times New Roman" w:cs="Times New Roman"/>
        </w:rPr>
        <w:t xml:space="preserve"> 195.</w:t>
      </w:r>
    </w:p>
    <w:p w14:paraId="005D9A0C" w14:textId="77777777" w:rsidR="008A0A9E" w:rsidRPr="0097296D" w:rsidRDefault="008A0A9E" w:rsidP="00C64533">
      <w:pPr>
        <w:pStyle w:val="EndnoteText"/>
        <w:ind w:firstLine="720"/>
        <w:rPr>
          <w:rFonts w:ascii="Times New Roman" w:hAnsi="Times New Roman" w:cs="Times New Roman"/>
        </w:rPr>
      </w:pPr>
    </w:p>
  </w:endnote>
  <w:endnote w:id="19">
    <w:p w14:paraId="7D61ECDD" w14:textId="4BBD122D" w:rsidR="00706789" w:rsidRDefault="00706789" w:rsidP="00C64533">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Pr>
          <w:rFonts w:ascii="Times New Roman" w:hAnsi="Times New Roman" w:cs="Times New Roman"/>
        </w:rPr>
        <w:t xml:space="preserve"> </w:t>
      </w:r>
      <w:r w:rsidRPr="0097296D">
        <w:rPr>
          <w:rFonts w:ascii="Times New Roman" w:hAnsi="Times New Roman" w:cs="Times New Roman"/>
        </w:rPr>
        <w:t xml:space="preserve">Kilner, “Made in the Image of God,” in </w:t>
      </w:r>
      <w:r w:rsidRPr="0097296D">
        <w:rPr>
          <w:rFonts w:ascii="Times New Roman" w:hAnsi="Times New Roman" w:cs="Times New Roman"/>
          <w:i/>
          <w:iCs/>
        </w:rPr>
        <w:t>Christian Higher Education: Faith, Teaching, and Learning in the Evangelical Tradition</w:t>
      </w:r>
      <w:r w:rsidRPr="0097296D">
        <w:rPr>
          <w:rFonts w:ascii="Times New Roman" w:hAnsi="Times New Roman" w:cs="Times New Roman"/>
        </w:rPr>
        <w:t>, ed. David S. Dockery and Christopher W. Morgan (Wheaton, I</w:t>
      </w:r>
      <w:r>
        <w:rPr>
          <w:rFonts w:ascii="Times New Roman" w:hAnsi="Times New Roman" w:cs="Times New Roman"/>
        </w:rPr>
        <w:t>L</w:t>
      </w:r>
      <w:r w:rsidRPr="0097296D">
        <w:rPr>
          <w:rFonts w:ascii="Times New Roman" w:hAnsi="Times New Roman" w:cs="Times New Roman"/>
        </w:rPr>
        <w:t>: Crossway, 2018)</w:t>
      </w:r>
      <w:r w:rsidR="00C64533">
        <w:rPr>
          <w:rFonts w:ascii="Times New Roman" w:hAnsi="Times New Roman" w:cs="Times New Roman"/>
        </w:rPr>
        <w:t xml:space="preserve">: </w:t>
      </w:r>
      <w:r w:rsidRPr="0097296D">
        <w:rPr>
          <w:rFonts w:ascii="Times New Roman" w:hAnsi="Times New Roman" w:cs="Times New Roman"/>
        </w:rPr>
        <w:t xml:space="preserve">109-110; Todd C. Ream and Perry L. Glanzer, </w:t>
      </w:r>
      <w:r w:rsidRPr="0097296D">
        <w:rPr>
          <w:rFonts w:ascii="Times New Roman" w:hAnsi="Times New Roman" w:cs="Times New Roman"/>
          <w:i/>
          <w:iCs/>
        </w:rPr>
        <w:t>The Idea of a Christian College: A Reexamination for Today’s University</w:t>
      </w:r>
      <w:r w:rsidRPr="0097296D">
        <w:rPr>
          <w:rFonts w:ascii="Times New Roman" w:hAnsi="Times New Roman" w:cs="Times New Roman"/>
        </w:rPr>
        <w:t xml:space="preserve"> (Eugene, O</w:t>
      </w:r>
      <w:r>
        <w:rPr>
          <w:rFonts w:ascii="Times New Roman" w:hAnsi="Times New Roman" w:cs="Times New Roman"/>
        </w:rPr>
        <w:t>R</w:t>
      </w:r>
      <w:r w:rsidRPr="0097296D">
        <w:rPr>
          <w:rFonts w:ascii="Times New Roman" w:hAnsi="Times New Roman" w:cs="Times New Roman"/>
        </w:rPr>
        <w:t>: Cascade Books, 2013)</w:t>
      </w:r>
      <w:r w:rsidR="00C64533">
        <w:rPr>
          <w:rFonts w:ascii="Times New Roman" w:hAnsi="Times New Roman" w:cs="Times New Roman"/>
        </w:rPr>
        <w:t>:</w:t>
      </w:r>
      <w:r w:rsidRPr="0097296D">
        <w:rPr>
          <w:rFonts w:ascii="Times New Roman" w:hAnsi="Times New Roman" w:cs="Times New Roman"/>
        </w:rPr>
        <w:t xml:space="preserve"> 35.</w:t>
      </w:r>
    </w:p>
    <w:p w14:paraId="2F6F1F3A" w14:textId="77777777" w:rsidR="008A0A9E" w:rsidRPr="0097296D" w:rsidRDefault="008A0A9E" w:rsidP="00C64533">
      <w:pPr>
        <w:pStyle w:val="EndnoteText"/>
        <w:ind w:firstLine="720"/>
        <w:rPr>
          <w:rFonts w:ascii="Times New Roman" w:hAnsi="Times New Roman" w:cs="Times New Roman"/>
        </w:rPr>
      </w:pPr>
    </w:p>
  </w:endnote>
  <w:endnote w:id="20">
    <w:p w14:paraId="2321038F" w14:textId="1D9556C5" w:rsidR="00706789" w:rsidRDefault="00706789" w:rsidP="008A0A9E">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Harold H Wilke, “Access to Professional Education,” </w:t>
      </w:r>
      <w:r w:rsidRPr="0097296D">
        <w:rPr>
          <w:rFonts w:ascii="Times New Roman" w:hAnsi="Times New Roman" w:cs="Times New Roman"/>
          <w:i/>
          <w:iCs/>
        </w:rPr>
        <w:t>Theological Education</w:t>
      </w:r>
      <w:r w:rsidRPr="0097296D">
        <w:rPr>
          <w:rFonts w:ascii="Times New Roman" w:hAnsi="Times New Roman" w:cs="Times New Roman"/>
        </w:rPr>
        <w:t xml:space="preserve"> 15, no. 1 (1978): 28</w:t>
      </w:r>
      <w:r>
        <w:rPr>
          <w:rFonts w:ascii="Times New Roman" w:hAnsi="Times New Roman" w:cs="Times New Roman"/>
        </w:rPr>
        <w:t>;</w:t>
      </w:r>
      <w:r w:rsidRPr="0097296D">
        <w:rPr>
          <w:rFonts w:ascii="Times New Roman" w:hAnsi="Times New Roman" w:cs="Times New Roman"/>
        </w:rPr>
        <w:t xml:space="preserve"> </w:t>
      </w:r>
      <w:r>
        <w:rPr>
          <w:rFonts w:ascii="Times New Roman" w:hAnsi="Times New Roman" w:cs="Times New Roman"/>
        </w:rPr>
        <w:t xml:space="preserve">Reem and </w:t>
      </w:r>
      <w:r>
        <w:rPr>
          <w:rFonts w:ascii="Times New Roman" w:hAnsi="Times New Roman" w:cs="Times New Roman"/>
        </w:rPr>
        <w:t xml:space="preserve">Glanzer, </w:t>
      </w:r>
      <w:r>
        <w:rPr>
          <w:rFonts w:ascii="Times New Roman" w:hAnsi="Times New Roman" w:cs="Times New Roman"/>
          <w:i/>
          <w:iCs/>
        </w:rPr>
        <w:t>Idea of a Christian College</w:t>
      </w:r>
      <w:r>
        <w:rPr>
          <w:rFonts w:ascii="Times New Roman" w:hAnsi="Times New Roman" w:cs="Times New Roman"/>
        </w:rPr>
        <w:t xml:space="preserve">, 126-128; </w:t>
      </w:r>
      <w:r w:rsidRPr="00B56CA8">
        <w:rPr>
          <w:rFonts w:ascii="Times New Roman" w:hAnsi="Times New Roman" w:cs="Times New Roman"/>
        </w:rPr>
        <w:t xml:space="preserve">Robert C Anderson, “Infusing the Graduate Theological Curriculum with Education about Disability: Addressing the Human Exerience of Disability in the Theological Context,” </w:t>
      </w:r>
      <w:r w:rsidRPr="00B56CA8">
        <w:rPr>
          <w:rFonts w:ascii="Times New Roman" w:hAnsi="Times New Roman" w:cs="Times New Roman"/>
          <w:i/>
          <w:iCs/>
        </w:rPr>
        <w:t>Theological Education</w:t>
      </w:r>
      <w:r w:rsidRPr="00B56CA8">
        <w:rPr>
          <w:rFonts w:ascii="Times New Roman" w:hAnsi="Times New Roman" w:cs="Times New Roman"/>
        </w:rPr>
        <w:t xml:space="preserve"> 39, no. 1 (2003): 13</w:t>
      </w:r>
      <w:r>
        <w:rPr>
          <w:rFonts w:ascii="Times New Roman" w:hAnsi="Times New Roman" w:cs="Times New Roman"/>
        </w:rPr>
        <w:t>3</w:t>
      </w:r>
      <w:r w:rsidRPr="00B56CA8">
        <w:rPr>
          <w:rFonts w:ascii="Times New Roman" w:hAnsi="Times New Roman" w:cs="Times New Roman"/>
        </w:rPr>
        <w:t>–1</w:t>
      </w:r>
      <w:r>
        <w:rPr>
          <w:rFonts w:ascii="Times New Roman" w:hAnsi="Times New Roman" w:cs="Times New Roman"/>
        </w:rPr>
        <w:t xml:space="preserve">34; Kilner, “Made in the Image of God,” 110; </w:t>
      </w:r>
      <w:r w:rsidRPr="00215E62">
        <w:rPr>
          <w:rFonts w:ascii="Times New Roman" w:hAnsi="Times New Roman" w:cs="Times New Roman"/>
        </w:rPr>
        <w:t xml:space="preserve">Naomi H Annandale and Erik W Carter, “Disability and Theological Education: A North American Study,” </w:t>
      </w:r>
      <w:r w:rsidRPr="00215E62">
        <w:rPr>
          <w:rFonts w:ascii="Times New Roman" w:hAnsi="Times New Roman" w:cs="Times New Roman"/>
          <w:i/>
          <w:iCs/>
        </w:rPr>
        <w:t>Theological Education</w:t>
      </w:r>
      <w:r w:rsidRPr="00215E62">
        <w:rPr>
          <w:rFonts w:ascii="Times New Roman" w:hAnsi="Times New Roman" w:cs="Times New Roman"/>
        </w:rPr>
        <w:t xml:space="preserve"> 48, no. 2 (2014): </w:t>
      </w:r>
      <w:r>
        <w:rPr>
          <w:rFonts w:ascii="Times New Roman" w:hAnsi="Times New Roman" w:cs="Times New Roman"/>
        </w:rPr>
        <w:t>92</w:t>
      </w:r>
      <w:r w:rsidRPr="00215E62">
        <w:rPr>
          <w:rFonts w:ascii="Times New Roman" w:hAnsi="Times New Roman" w:cs="Times New Roman"/>
        </w:rPr>
        <w:t>–</w:t>
      </w:r>
      <w:r>
        <w:rPr>
          <w:rFonts w:ascii="Times New Roman" w:hAnsi="Times New Roman" w:cs="Times New Roman"/>
        </w:rPr>
        <w:t>95</w:t>
      </w:r>
      <w:r w:rsidRPr="00215E62">
        <w:rPr>
          <w:rFonts w:ascii="Times New Roman" w:hAnsi="Times New Roman" w:cs="Times New Roman"/>
        </w:rPr>
        <w:t>.</w:t>
      </w:r>
    </w:p>
    <w:p w14:paraId="052E7F70" w14:textId="77777777" w:rsidR="008A0A9E" w:rsidRPr="0097296D" w:rsidRDefault="008A0A9E" w:rsidP="00561CAD">
      <w:pPr>
        <w:pStyle w:val="EndnoteText"/>
        <w:ind w:firstLine="720"/>
        <w:rPr>
          <w:rFonts w:ascii="Times New Roman" w:hAnsi="Times New Roman" w:cs="Times New Roman"/>
        </w:rPr>
      </w:pPr>
    </w:p>
  </w:endnote>
  <w:endnote w:id="21">
    <w:p w14:paraId="4588ED85" w14:textId="2E51C47F" w:rsidR="00706789" w:rsidRDefault="00706789" w:rsidP="00C64533">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Matthew 25:40</w:t>
      </w:r>
      <w:r>
        <w:rPr>
          <w:rFonts w:ascii="Times New Roman" w:hAnsi="Times New Roman" w:cs="Times New Roman"/>
        </w:rPr>
        <w:t>; All Scripture references use the Christian Standard Bible.</w:t>
      </w:r>
    </w:p>
    <w:p w14:paraId="11EBF5AF" w14:textId="77777777" w:rsidR="008A0A9E" w:rsidRPr="0097296D" w:rsidRDefault="008A0A9E" w:rsidP="00C64533">
      <w:pPr>
        <w:pStyle w:val="EndnoteText"/>
        <w:ind w:firstLine="720"/>
        <w:rPr>
          <w:rFonts w:ascii="Times New Roman" w:hAnsi="Times New Roman" w:cs="Times New Roman"/>
        </w:rPr>
      </w:pPr>
    </w:p>
  </w:endnote>
  <w:endnote w:id="22">
    <w:p w14:paraId="014F2877" w14:textId="4B92A3C9" w:rsidR="00706789" w:rsidRDefault="00706789" w:rsidP="00C64533">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t>Kilner, “Made in the Image of God,” 110;</w:t>
      </w:r>
      <w:r>
        <w:rPr>
          <w:rFonts w:ascii="Times New Roman" w:hAnsi="Times New Roman" w:cs="Times New Roman"/>
        </w:rPr>
        <w:t xml:space="preserve"> Yong</w:t>
      </w:r>
      <w:r w:rsidRPr="00215E6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Bible, Disability, and the Church</w:t>
      </w:r>
      <w:r>
        <w:rPr>
          <w:rFonts w:ascii="Times New Roman" w:hAnsi="Times New Roman" w:cs="Times New Roman"/>
        </w:rPr>
        <w:t>,</w:t>
      </w:r>
      <w:r w:rsidRPr="00215E62">
        <w:rPr>
          <w:rFonts w:ascii="Times New Roman" w:hAnsi="Times New Roman" w:cs="Times New Roman"/>
        </w:rPr>
        <w:t xml:space="preserve"> 111.</w:t>
      </w:r>
    </w:p>
    <w:p w14:paraId="53A23ED8" w14:textId="77777777" w:rsidR="008A0A9E" w:rsidRPr="0097296D" w:rsidRDefault="008A0A9E" w:rsidP="00C64533">
      <w:pPr>
        <w:pStyle w:val="EndnoteText"/>
        <w:ind w:firstLine="720"/>
        <w:rPr>
          <w:rFonts w:ascii="Times New Roman" w:hAnsi="Times New Roman" w:cs="Times New Roman"/>
        </w:rPr>
      </w:pPr>
    </w:p>
  </w:endnote>
  <w:endnote w:id="23">
    <w:p w14:paraId="4E82286F" w14:textId="2F7C055A" w:rsidR="00706789" w:rsidRDefault="00706789" w:rsidP="00C64533">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{"citationID":"WDdKSxan","properties":{"formattedCitation":"Kenneth S. Coley and John William Turner, \\uc0\\u8220{}Examining Deuteronomy 6 through the Lens of 21st Century Education Concepts,\\uc0\\u8221{} {\\i{}D6 Family Ministry Journal} 3 (January 1, 2018): 3\\uc0\\u8211{}23.","plainCitation":"Kenneth S. Coley and John William Turner, “Examining Deuteronomy 6 through the Lens of 21st Century Education Concepts,” D6 Family Ministry Journal 3 (January 1, 2018): 3–23.","noteIndex":20},"citationItems":[{"id":1618,"uris":["http://zotero.org/users/6986165/items/HCVCCR46"],"uri":["http://zotero.org/users/6986165/items/HCVCCR46"],"itemData":{"id":1618,"type":"article-journal","archive":"Christian Periodical Index","container-title":"D6 Family Ministry Journal","ISSN":"26397080","journalAbbreviation":"D6 Family Ministry Journal","page":"3-23","source":"EBSCOhost","title":"Examining Deuteronomy 6 through the lens of 21st century education concepts","volume":"3","author":[{"family":"Coley","given":"Kenneth S."},{"family":"Turner","given":"John William"}],"issued":{"date-parts":[["2018",1,1]]}}}],"schema":"https://github.com/citation-style-language/schema/raw/master/csl-citation.json"}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Kenneth S. Coley and John William Turner, “Examining Deuteronomy 6 through the Lens of 21st Century Education Concepts,” </w:t>
      </w:r>
      <w:r w:rsidRPr="0097296D">
        <w:rPr>
          <w:rFonts w:ascii="Times New Roman" w:hAnsi="Times New Roman" w:cs="Times New Roman"/>
          <w:i/>
          <w:iCs/>
        </w:rPr>
        <w:t>D6 Family Ministry Journal</w:t>
      </w:r>
      <w:r w:rsidRPr="0097296D">
        <w:rPr>
          <w:rFonts w:ascii="Times New Roman" w:hAnsi="Times New Roman" w:cs="Times New Roman"/>
        </w:rPr>
        <w:t xml:space="preserve"> 3 (January 1, 2018): 3–23.</w:t>
      </w:r>
      <w:r w:rsidRPr="0097296D">
        <w:rPr>
          <w:rFonts w:ascii="Times New Roman" w:hAnsi="Times New Roman" w:cs="Times New Roman"/>
        </w:rPr>
        <w:fldChar w:fldCharType="end"/>
      </w:r>
      <w:r w:rsidRPr="0097296D">
        <w:rPr>
          <w:rFonts w:ascii="Times New Roman" w:hAnsi="Times New Roman" w:cs="Times New Roman"/>
        </w:rPr>
        <w:t xml:space="preserve"> </w:t>
      </w:r>
    </w:p>
    <w:p w14:paraId="43E6122E" w14:textId="77777777" w:rsidR="008A0A9E" w:rsidRPr="0097296D" w:rsidRDefault="008A0A9E" w:rsidP="00C64533">
      <w:pPr>
        <w:pStyle w:val="EndnoteText"/>
        <w:ind w:firstLine="720"/>
        <w:rPr>
          <w:rFonts w:ascii="Times New Roman" w:hAnsi="Times New Roman" w:cs="Times New Roman"/>
        </w:rPr>
      </w:pPr>
    </w:p>
  </w:endnote>
  <w:endnote w:id="24">
    <w:p w14:paraId="4426EA46" w14:textId="79CC7532" w:rsidR="00706789" w:rsidRDefault="00706789" w:rsidP="00C64533">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{"citationID":"Jsoo7uST","properties":{"formattedCitation":"Deborah Beth Creamer, {\\i{}Disability and Christian Theology\\uc0\\u8239{}: Embodied Limits and Constructive Possibilities.}, Academy series (Oxford University Press, 2009), http://aaron.swbts.edu/login?url=https://search.ebscohost.com/login.aspx?direct=true&amp;db=cat03589a&amp;AN=swbts.b1823603&amp;site=eds-live.","plainCitation":"Deborah Beth Creamer, Disability and Christian Theology : Embodied Limits and Constructive Possibilities., Academy series (Oxford University Press, 2009), http://aaron.swbts.edu/login?url=https://search.ebscohost.com/login.aspx?direct=true&amp;db=cat03589a&amp;AN=swbts.b1823603&amp;site=eds-live.","noteIndex":21},"citationItems":[{"id":2129,"uris":["http://zotero.org/users/6986165/items/7FWHVRJI"],"uri":["http://zotero.org/users/6986165/items/7FWHVRJI"],"itemData":{"id":2129,"type":"book","archive":"Southwestern Baptist Theological Seminary Catalog","archive_location":"SWBTS Internet","collection-title":"Academy series","publisher":"Oxford University Press","source":"EBSCOhost","title":"Disability and Christian theology : embodied limits and constructive possibilities.","URL":"http://aaron.swbts.edu/login?url=https://search.ebscohost.com/login.aspx?direct=true&amp;db=cat03589a&amp;AN=swbts.b1823603&amp;site=eds-live","author":[{"family":"Creamer","given":"Deborah Beth"}],"issued":{"date-parts":[["2009"]]}}}],"schema":"https://github.com/citation-style-language/schema/raw/master/csl-citation.json"}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Deborah Beth Creamer, </w:t>
      </w:r>
      <w:r w:rsidRPr="0097296D">
        <w:rPr>
          <w:rFonts w:ascii="Times New Roman" w:hAnsi="Times New Roman" w:cs="Times New Roman"/>
          <w:i/>
          <w:iCs/>
        </w:rPr>
        <w:t>Disability and Christian Theology : Embodied Limits and Constructive Possibilities.</w:t>
      </w:r>
      <w:r w:rsidRPr="0097296D">
        <w:rPr>
          <w:rFonts w:ascii="Times New Roman" w:hAnsi="Times New Roman" w:cs="Times New Roman"/>
        </w:rPr>
        <w:t>, Academy series (Oxford University Press, 2009)</w:t>
      </w:r>
      <w:r w:rsidR="00C64533">
        <w:rPr>
          <w:rFonts w:ascii="Times New Roman" w:hAnsi="Times New Roman" w:cs="Times New Roman"/>
        </w:rPr>
        <w:t>:</w:t>
      </w:r>
      <w:r w:rsidRPr="0097296D">
        <w:rPr>
          <w:rFonts w:ascii="Times New Roman" w:hAnsi="Times New Roman" w:cs="Times New Roman"/>
        </w:rPr>
        <w:t xml:space="preserve"> </w:t>
      </w:r>
      <w:r w:rsidR="00561CAD" w:rsidRPr="00561CAD">
        <w:rPr>
          <w:rFonts w:ascii="Times New Roman" w:hAnsi="Times New Roman" w:cs="Times New Roman"/>
        </w:rPr>
        <w:t>53-54.</w:t>
      </w:r>
      <w:r w:rsidR="00C64533" w:rsidRPr="0097296D">
        <w:rPr>
          <w:rFonts w:ascii="Times New Roman" w:hAnsi="Times New Roman" w:cs="Times New Roman"/>
        </w:rPr>
        <w:t xml:space="preserve"> </w:t>
      </w:r>
      <w:r w:rsidRPr="0097296D">
        <w:rPr>
          <w:rFonts w:ascii="Times New Roman" w:hAnsi="Times New Roman" w:cs="Times New Roman"/>
        </w:rPr>
        <w:fldChar w:fldCharType="end"/>
      </w:r>
      <w:r w:rsidRPr="0097296D">
        <w:rPr>
          <w:rFonts w:ascii="Times New Roman" w:hAnsi="Times New Roman" w:cs="Times New Roman"/>
        </w:rPr>
        <w:t xml:space="preserve"> </w:t>
      </w:r>
    </w:p>
    <w:p w14:paraId="344F99FC" w14:textId="77777777" w:rsidR="008A0A9E" w:rsidRPr="0097296D" w:rsidRDefault="008A0A9E" w:rsidP="00C64533">
      <w:pPr>
        <w:pStyle w:val="EndnoteText"/>
        <w:ind w:firstLine="720"/>
        <w:rPr>
          <w:rFonts w:ascii="Times New Roman" w:hAnsi="Times New Roman" w:cs="Times New Roman"/>
        </w:rPr>
      </w:pPr>
    </w:p>
  </w:endnote>
  <w:endnote w:id="25">
    <w:p w14:paraId="7EA2D1AD" w14:textId="5F8B7DF2" w:rsidR="00706789" w:rsidRDefault="00706789" w:rsidP="00C64533">
      <w:pPr>
        <w:pStyle w:val="EndnoteText"/>
        <w:ind w:firstLine="720"/>
        <w:rPr>
          <w:rFonts w:ascii="Times New Roman" w:hAnsi="Times New Roman" w:cs="Times New Roman"/>
        </w:rPr>
      </w:pPr>
      <w:r w:rsidRPr="006E167D">
        <w:rPr>
          <w:rStyle w:val="EndnoteReference"/>
          <w:rFonts w:ascii="Times New Roman" w:hAnsi="Times New Roman" w:cs="Times New Roman"/>
        </w:rPr>
        <w:endnoteRef/>
      </w:r>
      <w:r w:rsidRPr="006E167D">
        <w:rPr>
          <w:rFonts w:ascii="Times New Roman" w:hAnsi="Times New Roman" w:cs="Times New Roman"/>
        </w:rPr>
        <w:t xml:space="preserve"> Genesis 1:27</w:t>
      </w:r>
    </w:p>
    <w:p w14:paraId="056B900C" w14:textId="77777777" w:rsidR="008A0A9E" w:rsidRDefault="008A0A9E" w:rsidP="00C64533">
      <w:pPr>
        <w:pStyle w:val="EndnoteText"/>
        <w:ind w:firstLine="720"/>
      </w:pPr>
    </w:p>
  </w:endnote>
  <w:endnote w:id="26">
    <w:p w14:paraId="3BA08B30" w14:textId="1575C1D1" w:rsidR="00706789" w:rsidRDefault="00706789" w:rsidP="00C64533">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{"citationID":"u92G6QYW","properties":{"formattedCitation":"Mary Elise Lowe, \\uc0\\u8220{}\\uc0\\u8216{}Rabbi, Who Sinned?\\uc0\\u8217{}: Disability Theologies and Sin,\\uc0\\u8221{} {\\i{}Dialog} 51, no. 3 (2012): 185\\uc0\\u8211{}194.","plainCitation":"Mary Elise Lowe, “‘Rabbi, Who Sinned?’: Disability Theologies and Sin,” Dialog 51, no. 3 (2012): 185–194.","noteIndex":22},"citationItems":[{"id":2131,"uris":["http://zotero.org/users/6986165/items/F2L5W8ZI"],"uri":["http://zotero.org/users/6986165/items/F2L5W8ZI"],"itemData":{"id":2131,"type":"article-journal","archive":"Atla Religion Database with AtlaSerials PLUS","container-title":"Dialog","DOI":"10.1111/j.1540-6385.2012.00684.x","ISSN":"0012-2033","issue":"3","journalAbbreviation":"Dialog","page":"185-194","source":"EBSCOhost","title":"'Rabbi, who sinned?': disability theologies and sin","volume":"51","author":[{"family":"Lowe","given":"Mary Elise"}],"issued":{"date-parts":[["2012"]]}}}],"schema":"https://github.com/citation-style-language/schema/raw/master/csl-citation.json"}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Mary Elise Lowe, “‘Rabbi, Who Sinned?’: Disability Theologies and Sin,” </w:t>
      </w:r>
      <w:r w:rsidRPr="0097296D">
        <w:rPr>
          <w:rFonts w:ascii="Times New Roman" w:hAnsi="Times New Roman" w:cs="Times New Roman"/>
          <w:i/>
          <w:iCs/>
        </w:rPr>
        <w:t>Dialog</w:t>
      </w:r>
      <w:r w:rsidRPr="0097296D">
        <w:rPr>
          <w:rFonts w:ascii="Times New Roman" w:hAnsi="Times New Roman" w:cs="Times New Roman"/>
        </w:rPr>
        <w:t xml:space="preserve"> 51, no. 3 (2012): 185–194.</w:t>
      </w:r>
      <w:r w:rsidRPr="0097296D">
        <w:rPr>
          <w:rFonts w:ascii="Times New Roman" w:hAnsi="Times New Roman" w:cs="Times New Roman"/>
        </w:rPr>
        <w:fldChar w:fldCharType="end"/>
      </w:r>
    </w:p>
    <w:p w14:paraId="61991C08" w14:textId="77777777" w:rsidR="008A0A9E" w:rsidRPr="0097296D" w:rsidRDefault="008A0A9E" w:rsidP="00C64533">
      <w:pPr>
        <w:pStyle w:val="EndnoteText"/>
        <w:ind w:firstLine="720"/>
        <w:rPr>
          <w:rFonts w:ascii="Times New Roman" w:hAnsi="Times New Roman" w:cs="Times New Roman"/>
        </w:rPr>
      </w:pPr>
    </w:p>
  </w:endnote>
  <w:endnote w:id="27">
    <w:p w14:paraId="78994CDB" w14:textId="62EFA2CA" w:rsidR="00706789" w:rsidRDefault="00706789" w:rsidP="00C64533">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{"citationID":"7ptqlLyM","properties":{"formattedCitation":"Anthony James Stiff, \\uc0\\u8220{}The Abiding Value of John Calvin\\uc0\\u8217{}s Eucharistic Theology for Disability Theology,\\uc0\\u8221{} {\\i{}Calvin Theological Journal} 54, no. 1 (April 2019): 129\\uc0\\u8211{}145; Tim Stainton, \\uc0\\u8220{}Reason, Grace and Charity: Augustine and the Impact of Church Doctrine on the Construction of Intellectual Disability.,\\uc0\\u8221{} {\\i{}Disability &amp; Society} 23, no. 5 (August 2008): 485\\uc0\\u8211{}496; Molly Claire Haslam, {\\i{}A Constructive Theology of Intellectual Disability\\uc0\\u8239{}: Human Being as Mutuality and Response.}, 1st ed. (Fordham University Press, 2012), http://aaron.swbts.edu/login?url=https://search.ebscohost.com/login.aspx?direct=true&amp;db=cat03589a&amp;AN=swbts.b1829638&amp;site=eds-live.","plainCitation":"Anthony James Stiff, “The Abiding Value of John Calvin’s Eucharistic Theology for Disability Theology,” Calvin Theological Journal 54, no. 1 (April 2019): 129–145; Tim Stainton, “Reason, Grace and Charity: Augustine and the Impact of Church Doctrine on the Construction of Intellectual Disability.,” Disability &amp; Society 23, no. 5 (August 2008): 485–496; Molly Claire Haslam, A Constructive Theology of Intellectual Disability : Human Being as Mutuality and Response., 1st ed. (Fordham University Press, 2012), http://aaron.swbts.edu/login?url=https://search.ebscohost.com/login.aspx?direct=true&amp;db=cat03589a&amp;AN=swbts.b1829638&amp;site=eds-live.","noteIndex":24},"citationItems":[{"id":2124,"uris":["http://zotero.org/users/6986165/items/CIQJLTVG"],"uri":["http://zotero.org/users/6986165/items/CIQJLTVG"],"itemData":{"id":2124,"type":"article-journal","archive":"Atla Religion Database with AtlaSerials PLUS","container-title":"Calvin Theological Journal","ISSN":"0008-1795","issue":"1","journalAbbreviation":"Calvin Theological Journal","page":"129-145","source":"EBSCOhost","title":"The Abiding Value of John Calvin's Eucharistic Theology for Disability Theology","volume":"54","author":[{"family":"Stiff","given":"Anthony James"}],"issued":{"date-parts":[["2019",4]]}}},{"id":2312,"uris":["http://zotero.org/users/6986165/items/KUJK7EW8"],"uri":["http://zotero.org/users/6986165/items/KUJK7EW8"],"itemData":{"id":2312,"type":"article-journal","abstract":"This paper examines how early church doctrine influenced the construction of and response to intellectual disability. Though the main focus of the paper is on intellectual disability, much of the discussion is more broadly relevant to other types of impairments and human differences. The vehicle for this examination is the work of the key figure in the development and codification of church doctrine, Augustine, Bishop of Hippo (354-430 CE). The paper concludes that while church doctrine mitigated the stark association of reason and human value found in classical Greek thought, it did not engender an attitude of equality in this world. The ideas of grace and the 'divine plan', while opening up a limited space for acceptance and broad equality in the eyes of God, also reinforced and legitimated an inferior position in this world, leaving those considered to have an intellectual disability on the margins of social life and subject to a charity ultimately undertaken for the salvation of the giver, rather than for the welfare of the recipient. Subsidiary themes related to the construction of intellectual disability, such as 'object lessons to the wise' or as 'monsters', use as sources of amusement, innocence and their association with children and the charity ethic, are also examined. [ABSTRACT FROM AUTHOR]","archive":"Complementary Index","container-title":"Disability &amp; Society","ISSN":"09687599","issue":"5","journalAbbreviation":"Disability &amp; Society","page":"485-496","source":"EBSCOhost","title":"Reason, grace and charity: Augustine and the impact of church doctrine on the construction of intellectual disability.","volume":"23","author":[{"family":"Stainton","given":"Tim"}],"issued":{"date-parts":[["2008",8]]}}},{"id":2127,"uris":["http://zotero.org/users/6986165/items/PNUCWZ4X"],"uri":["http://zotero.org/users/6986165/items/PNUCWZ4X"],"itemData":{"id":2127,"type":"book","archive":"Southwestern Baptist Theological Seminary Catalog","archive_location":"SWBTS Internet","edition":"1st ed.","publisher":"Fordham University Press","source":"EBSCOhost","title":"A constructive theology of intellectual disability : human being as mutuality and response.","URL":"http://aaron.swbts.edu/login?url=https://search.ebscohost.com/login.aspx?direct=true&amp;db=cat03589a&amp;AN=swbts.b1829638&amp;site=eds-live","author":[{"family":"Haslam","given":"Molly Claire"}],"issued":{"date-parts":[["2012"]]}}}],"schema":"https://github.com/citation-style-language/schema/raw/master/csl-citation.json"}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Anthony James Stiff, “The Abiding Value of John Calvin’s Eucharistic Theology for Disability Theology,” </w:t>
      </w:r>
      <w:r w:rsidRPr="0097296D">
        <w:rPr>
          <w:rFonts w:ascii="Times New Roman" w:hAnsi="Times New Roman" w:cs="Times New Roman"/>
          <w:i/>
          <w:iCs/>
        </w:rPr>
        <w:t>Calvin Theological Journal</w:t>
      </w:r>
      <w:r w:rsidRPr="0097296D">
        <w:rPr>
          <w:rFonts w:ascii="Times New Roman" w:hAnsi="Times New Roman" w:cs="Times New Roman"/>
        </w:rPr>
        <w:t xml:space="preserve"> 54, no. 1 (April 2019): 129–145; Tim Stainton, “Reason, Grace and Charity: Augustine and the Impact of Church Doctrine on the Construction of Intellectual Disability.,” </w:t>
      </w:r>
      <w:r w:rsidRPr="0097296D">
        <w:rPr>
          <w:rFonts w:ascii="Times New Roman" w:hAnsi="Times New Roman" w:cs="Times New Roman"/>
          <w:i/>
          <w:iCs/>
        </w:rPr>
        <w:t>Disability &amp; Society</w:t>
      </w:r>
      <w:r w:rsidRPr="0097296D">
        <w:rPr>
          <w:rFonts w:ascii="Times New Roman" w:hAnsi="Times New Roman" w:cs="Times New Roman"/>
        </w:rPr>
        <w:t xml:space="preserve"> 23, no. 5 (August 2008): 485–496; Molly Claire Haslam, </w:t>
      </w:r>
      <w:r w:rsidRPr="0097296D">
        <w:rPr>
          <w:rFonts w:ascii="Times New Roman" w:hAnsi="Times New Roman" w:cs="Times New Roman"/>
          <w:i/>
          <w:iCs/>
        </w:rPr>
        <w:t>A Constructive Theology of Intellectual Disability : Human Being as Mutuality and Response.</w:t>
      </w:r>
      <w:r w:rsidRPr="0097296D">
        <w:rPr>
          <w:rFonts w:ascii="Times New Roman" w:hAnsi="Times New Roman" w:cs="Times New Roman"/>
        </w:rPr>
        <w:t>, 1st ed. (Fordham University Press, 2012), 95-104.</w:t>
      </w:r>
      <w:r w:rsidRPr="0097296D">
        <w:rPr>
          <w:rFonts w:ascii="Times New Roman" w:hAnsi="Times New Roman" w:cs="Times New Roman"/>
        </w:rPr>
        <w:fldChar w:fldCharType="end"/>
      </w:r>
    </w:p>
    <w:p w14:paraId="1E45134D" w14:textId="77777777" w:rsidR="008A0A9E" w:rsidRPr="0097296D" w:rsidRDefault="008A0A9E" w:rsidP="00C64533">
      <w:pPr>
        <w:pStyle w:val="EndnoteText"/>
        <w:ind w:firstLine="720"/>
        <w:rPr>
          <w:rFonts w:ascii="Times New Roman" w:hAnsi="Times New Roman" w:cs="Times New Roman"/>
        </w:rPr>
      </w:pPr>
    </w:p>
  </w:endnote>
  <w:endnote w:id="28">
    <w:p w14:paraId="1B2D37C4" w14:textId="53CCFAEA" w:rsidR="00706789" w:rsidRDefault="00706789" w:rsidP="00C64533">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{"citationID":"O4GHgTyf","properties":{"formattedCitation":"Anna Maliszewska, \\uc0\\u8220{}Imago Dei in People with Profound Intellectual Disabilities.,\\uc0\\u8221{} {\\i{}Theologica Xaveriana} 69, no. 188 (July 2019): 1\\uc0\\u8211{}26.","plainCitation":"Anna Maliszewska, “Imago Dei in People with Profound Intellectual Disabilities.,” Theologica Xaveriana 69, no. 188 (July 2019): 1–26.","noteIndex":24},"citationItems":[{"id":2310,"uris":["http://zotero.org/users/6986165/items/XBADP3NA"],"uri":["http://zotero.org/users/6986165/items/XBADP3NA"],"itemData":{"id":2310,"type":"article-journal","abstract":"The bulk of the Church's teaching and theological tradition concerning Imago Dei appears to interpret the concept in a way that is hardly compatible with the reality of people with intellectual disabilities at best. This particularly concerns the themes in theological tradition defining God's image as special intellectual faculties common to human beings and/or their capacity for exercising dominance over the rest of creation. This article offers an interpretation of Imago Dei that is in no way oppressive for people with profound intellectual disabilities. It is inspired by the relational interpretation of God's image, whilst being also firmly rooted in the tradition linking it to aspects such as freedom and dominance over the rest of creation. It shows individuals with profound intellectual disability as subjects actively exercising freedom and partaking in dominance over the rest of creation, yet in a way unique to them and their condition. (English) [ABSTRACT FROM AUTHOR]","archive":"Religion and Philosophy Collection","container-title":"Theologica Xaveriana","ISSN":"01203649","issue":"188","journalAbbreviation":"Theologica Xaveriana","note":"publisher: Pontificia Universidad Javeriana","page":"1-26","source":"EBSCOhost","title":"Imago Dei in People with Profound Intellectual Disabilities.","volume":"69","author":[{"family":"Maliszewska","given":"Anna"}],"issued":{"date-parts":[["2019",7]]}}}],"schema":"https://github.com/citation-style-language/schema/raw/master/csl-citation.json"}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Anna Maliszewska, “Imago Dei in People with Profound Intellectual Disabilities.,” </w:t>
      </w:r>
      <w:r w:rsidRPr="0097296D">
        <w:rPr>
          <w:rFonts w:ascii="Times New Roman" w:hAnsi="Times New Roman" w:cs="Times New Roman"/>
          <w:i/>
          <w:iCs/>
        </w:rPr>
        <w:t>Theologica Xaveriana</w:t>
      </w:r>
      <w:r w:rsidRPr="0097296D">
        <w:rPr>
          <w:rFonts w:ascii="Times New Roman" w:hAnsi="Times New Roman" w:cs="Times New Roman"/>
        </w:rPr>
        <w:t xml:space="preserve"> 69, no. 188 (July 2019): 1–26.</w:t>
      </w:r>
      <w:r w:rsidRPr="0097296D">
        <w:rPr>
          <w:rFonts w:ascii="Times New Roman" w:hAnsi="Times New Roman" w:cs="Times New Roman"/>
        </w:rPr>
        <w:fldChar w:fldCharType="end"/>
      </w:r>
    </w:p>
    <w:p w14:paraId="79C2D2F3" w14:textId="77777777" w:rsidR="008A0A9E" w:rsidRPr="0097296D" w:rsidRDefault="008A0A9E" w:rsidP="00C64533">
      <w:pPr>
        <w:pStyle w:val="EndnoteText"/>
        <w:ind w:firstLine="720"/>
        <w:rPr>
          <w:rFonts w:ascii="Times New Roman" w:hAnsi="Times New Roman" w:cs="Times New Roman"/>
        </w:rPr>
      </w:pPr>
    </w:p>
  </w:endnote>
  <w:endnote w:id="29">
    <w:p w14:paraId="76C191F5" w14:textId="50BF3F5B" w:rsidR="00706789" w:rsidRDefault="00706789" w:rsidP="00F449FF">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Creamer, </w:t>
      </w:r>
      <w:r w:rsidRPr="0097296D">
        <w:rPr>
          <w:rFonts w:ascii="Times New Roman" w:hAnsi="Times New Roman" w:cs="Times New Roman"/>
          <w:i/>
          <w:iCs/>
        </w:rPr>
        <w:t>Disability and Christian Theology</w:t>
      </w:r>
      <w:r w:rsidRPr="0097296D">
        <w:rPr>
          <w:rFonts w:ascii="Times New Roman" w:hAnsi="Times New Roman" w:cs="Times New Roman"/>
        </w:rPr>
        <w:t>, 94.</w:t>
      </w:r>
    </w:p>
    <w:p w14:paraId="53EE5AF4" w14:textId="77777777" w:rsidR="008A0A9E" w:rsidRPr="0097296D" w:rsidRDefault="008A0A9E" w:rsidP="00F449FF">
      <w:pPr>
        <w:pStyle w:val="EndnoteText"/>
        <w:ind w:firstLine="720"/>
        <w:rPr>
          <w:rFonts w:ascii="Times New Roman" w:hAnsi="Times New Roman" w:cs="Times New Roman"/>
        </w:rPr>
      </w:pPr>
    </w:p>
  </w:endnote>
  <w:endnote w:id="30">
    <w:p w14:paraId="32281912" w14:textId="09482867" w:rsidR="00706789" w:rsidRDefault="00706789" w:rsidP="00F449FF">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C80229">
        <w:rPr>
          <w:rFonts w:ascii="Times New Roman" w:hAnsi="Times New Roman" w:cs="Times New Roman"/>
        </w:rPr>
        <w:t xml:space="preserve">Amos Yong, </w:t>
      </w:r>
      <w:r w:rsidRPr="00C80229">
        <w:rPr>
          <w:rFonts w:ascii="Times New Roman" w:hAnsi="Times New Roman" w:cs="Times New Roman"/>
          <w:i/>
          <w:iCs/>
        </w:rPr>
        <w:t>The Bible, Disability, and the Church: A New Vision of the People of God</w:t>
      </w:r>
      <w:r w:rsidRPr="00C80229">
        <w:rPr>
          <w:rFonts w:ascii="Times New Roman" w:hAnsi="Times New Roman" w:cs="Times New Roman"/>
        </w:rPr>
        <w:t xml:space="preserve"> (Grand Rapids: W.B. Eerdmans, 2011)</w:t>
      </w:r>
      <w:r w:rsidRPr="0097296D">
        <w:rPr>
          <w:rFonts w:ascii="Times New Roman" w:hAnsi="Times New Roman" w:cs="Times New Roman"/>
        </w:rPr>
        <w:t>. 79</w:t>
      </w:r>
    </w:p>
    <w:p w14:paraId="3042A0A1" w14:textId="77777777" w:rsidR="008A0A9E" w:rsidRPr="0097296D" w:rsidRDefault="008A0A9E" w:rsidP="00F449FF">
      <w:pPr>
        <w:pStyle w:val="EndnoteText"/>
        <w:ind w:firstLine="720"/>
        <w:rPr>
          <w:rFonts w:ascii="Times New Roman" w:hAnsi="Times New Roman" w:cs="Times New Roman"/>
        </w:rPr>
      </w:pPr>
    </w:p>
  </w:endnote>
  <w:endnote w:id="31">
    <w:p w14:paraId="60D8DF27" w14:textId="2C2C8974" w:rsidR="00706789" w:rsidRDefault="00706789" w:rsidP="00F449FF">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Ream and </w:t>
      </w:r>
      <w:r w:rsidRPr="0097296D">
        <w:rPr>
          <w:rFonts w:ascii="Times New Roman" w:hAnsi="Times New Roman" w:cs="Times New Roman"/>
        </w:rPr>
        <w:t xml:space="preserve">Glanzer, </w:t>
      </w:r>
      <w:r w:rsidRPr="0097296D">
        <w:rPr>
          <w:rFonts w:ascii="Times New Roman" w:hAnsi="Times New Roman" w:cs="Times New Roman"/>
          <w:i/>
          <w:iCs/>
        </w:rPr>
        <w:t>The Idea of a Christian College</w:t>
      </w:r>
      <w:r w:rsidRPr="0097296D">
        <w:rPr>
          <w:rFonts w:ascii="Times New Roman" w:hAnsi="Times New Roman" w:cs="Times New Roman"/>
        </w:rPr>
        <w:t>, 125</w:t>
      </w:r>
    </w:p>
    <w:p w14:paraId="43A1FDD5" w14:textId="77777777" w:rsidR="008A0A9E" w:rsidRPr="0097296D" w:rsidRDefault="008A0A9E" w:rsidP="00F449FF">
      <w:pPr>
        <w:pStyle w:val="EndnoteText"/>
        <w:ind w:firstLine="720"/>
        <w:rPr>
          <w:rFonts w:ascii="Times New Roman" w:hAnsi="Times New Roman" w:cs="Times New Roman"/>
        </w:rPr>
      </w:pPr>
    </w:p>
  </w:endnote>
  <w:endnote w:id="32">
    <w:p w14:paraId="65D32611" w14:textId="230F7C38" w:rsidR="00706789" w:rsidRDefault="00706789" w:rsidP="00F449FF">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Mark 4:33</w:t>
      </w:r>
    </w:p>
    <w:p w14:paraId="241D313C" w14:textId="77777777" w:rsidR="008A0A9E" w:rsidRPr="0097296D" w:rsidRDefault="008A0A9E" w:rsidP="00F449FF">
      <w:pPr>
        <w:pStyle w:val="EndnoteText"/>
        <w:ind w:firstLine="720"/>
        <w:rPr>
          <w:rFonts w:ascii="Times New Roman" w:hAnsi="Times New Roman" w:cs="Times New Roman"/>
        </w:rPr>
      </w:pPr>
    </w:p>
  </w:endnote>
  <w:endnote w:id="33">
    <w:p w14:paraId="524760F4" w14:textId="64C956A4" w:rsidR="00706789" w:rsidRDefault="00706789" w:rsidP="00F449FF">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{"citationID":"9OIegTjj","properties":{"formattedCitation":"Yong, {\\i{}The Bible, Disability, and the Church}.","plainCitation":"Yong, The Bible, Disability, and the Church.","noteIndex":30},"citationItems":[{"id":2353,"uris":["http://zotero.org/users/6986165/items/CAD5R432"],"uri":["http://zotero.org/users/6986165/items/CAD5R432"],"itemData":{"id":2353,"type":"book","call-number":"BS680.P435 Y66 2011","event-place":"Grand Rapids, Mich","ISBN":"978-0-8028-6608-0","note":"OCLC: ocn707486617","number-of-pages":"161","publisher":"W.B. Eerdmans Pub. Co","publisher-place":"Grand Rapids, Mich","source":"Library of Congress ISBN","title":"The Bible, disability, and the church: a new vision of the people of God","title-short":"The Bible, disability, and the church","author":[{"family":"Yong","given":"Amos"}],"issued":{"date-parts":[["2011"]]}}}],"schema":"https://github.com/citation-style-language/schema/raw/master/csl-citation.json"}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Yong, </w:t>
      </w:r>
      <w:r w:rsidRPr="0097296D">
        <w:rPr>
          <w:rFonts w:ascii="Times New Roman" w:hAnsi="Times New Roman" w:cs="Times New Roman"/>
          <w:i/>
          <w:iCs/>
        </w:rPr>
        <w:t>The Bible, Disability, and the Church</w:t>
      </w:r>
      <w:r w:rsidRPr="0097296D">
        <w:rPr>
          <w:rFonts w:ascii="Times New Roman" w:hAnsi="Times New Roman" w:cs="Times New Roman"/>
        </w:rPr>
        <w:t>.</w:t>
      </w:r>
      <w:r w:rsidRPr="0097296D">
        <w:rPr>
          <w:rFonts w:ascii="Times New Roman" w:hAnsi="Times New Roman" w:cs="Times New Roman"/>
        </w:rPr>
        <w:fldChar w:fldCharType="end"/>
      </w:r>
      <w:r w:rsidRPr="0097296D">
        <w:rPr>
          <w:rFonts w:ascii="Times New Roman" w:hAnsi="Times New Roman" w:cs="Times New Roman"/>
        </w:rPr>
        <w:t xml:space="preserve"> 109-112</w:t>
      </w:r>
    </w:p>
    <w:p w14:paraId="1B0DB529" w14:textId="77777777" w:rsidR="008A0A9E" w:rsidRPr="0097296D" w:rsidRDefault="008A0A9E" w:rsidP="00F449FF">
      <w:pPr>
        <w:pStyle w:val="EndnoteText"/>
        <w:ind w:firstLine="720"/>
        <w:rPr>
          <w:rFonts w:ascii="Times New Roman" w:hAnsi="Times New Roman" w:cs="Times New Roman"/>
        </w:rPr>
      </w:pPr>
    </w:p>
  </w:endnote>
  <w:endnote w:id="34">
    <w:p w14:paraId="079AA3BB" w14:textId="2F0BCF58" w:rsidR="00706789" w:rsidRDefault="00706789" w:rsidP="00F449FF">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{"citationID":"MNVeozMJ","properties":{"formattedCitation":"James Riley Estep, Michael J. Anthony, and Gregg R. Allison, {\\i{}A Theology for Christian Education} (Nashville, Tenn: B&amp;H Academic, 2008).","plainCitation":"James Riley Estep, Michael J. Anthony, and Gregg R. Allison, A Theology for Christian Education (Nashville, Tenn: B&amp;H Academic, 2008).","noteIndex":30},"citationItems":[{"id":2115,"uris":["http://zotero.org/users/6986165/items/FLM4ESLA"],"uri":["http://zotero.org/users/6986165/items/FLM4ESLA"],"itemData":{"id":2115,"type":"book","abstract":"What is \"Christian\" about Christian education; how is it different from non-Christian education? A Theology for Christian Education examines this question in depth and argues that the doctrines of systematic theology should drive the content, purpose, and methods of the educational program of the church. --from publisher description","call-number":"BV1471.3 .E88 2008","event-place":"Nashville, Tenn","ISBN":"978-0-8054-4457-5","note":"OCLC: ocn181600361","number-of-pages":"316","publisher":"B&amp;H Academic","publisher-place":"Nashville, Tenn","source":"Library of Congress ISBN","title":"A theology for Christian Education","author":[{"family":"Estep","given":"James Riley"},{"family":"Anthony","given":"Michael J."},{"family":"Allison","given":"Gregg R."}],"issued":{"date-parts":[["2008"]]}}}],"schema":"https://github.com/citation-style-language/schema/raw/master/csl-citation.json"}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Estep, Anthony, Allison, </w:t>
      </w:r>
      <w:r w:rsidRPr="0097296D">
        <w:rPr>
          <w:rFonts w:ascii="Times New Roman" w:hAnsi="Times New Roman" w:cs="Times New Roman"/>
          <w:i/>
          <w:iCs/>
        </w:rPr>
        <w:t>A Theology for Christian Education</w:t>
      </w:r>
      <w:r w:rsidRPr="0097296D">
        <w:rPr>
          <w:rFonts w:ascii="Times New Roman" w:hAnsi="Times New Roman" w:cs="Times New Roman"/>
        </w:rPr>
        <w:t>.</w:t>
      </w:r>
      <w:r w:rsidRPr="0097296D">
        <w:rPr>
          <w:rFonts w:ascii="Times New Roman" w:hAnsi="Times New Roman" w:cs="Times New Roman"/>
        </w:rPr>
        <w:fldChar w:fldCharType="end"/>
      </w:r>
      <w:r w:rsidRPr="0097296D">
        <w:rPr>
          <w:rFonts w:ascii="Times New Roman" w:hAnsi="Times New Roman" w:cs="Times New Roman"/>
        </w:rPr>
        <w:t xml:space="preserve"> 95-100.</w:t>
      </w:r>
    </w:p>
    <w:p w14:paraId="731E25E0" w14:textId="77777777" w:rsidR="008A0A9E" w:rsidRPr="0097296D" w:rsidRDefault="008A0A9E" w:rsidP="00F449FF">
      <w:pPr>
        <w:pStyle w:val="EndnoteText"/>
        <w:ind w:firstLine="720"/>
        <w:rPr>
          <w:rFonts w:ascii="Times New Roman" w:hAnsi="Times New Roman" w:cs="Times New Roman"/>
        </w:rPr>
      </w:pPr>
    </w:p>
  </w:endnote>
  <w:endnote w:id="35">
    <w:p w14:paraId="22DD7178" w14:textId="6D4CDC57" w:rsidR="00706789" w:rsidRDefault="00706789" w:rsidP="00F449FF">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Matthew 28:18-20</w:t>
      </w:r>
    </w:p>
    <w:p w14:paraId="38ADEE51" w14:textId="77777777" w:rsidR="008A0A9E" w:rsidRPr="0097296D" w:rsidRDefault="008A0A9E" w:rsidP="00F449FF">
      <w:pPr>
        <w:pStyle w:val="EndnoteText"/>
        <w:ind w:firstLine="720"/>
        <w:rPr>
          <w:rFonts w:ascii="Times New Roman" w:hAnsi="Times New Roman" w:cs="Times New Roman"/>
        </w:rPr>
      </w:pPr>
    </w:p>
  </w:endnote>
  <w:endnote w:id="36">
    <w:p w14:paraId="00EF2280" w14:textId="279BAC7E" w:rsidR="00706789" w:rsidRDefault="00706789" w:rsidP="00F449FF">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706789">
        <w:rPr>
          <w:rFonts w:ascii="Times New Roman" w:hAnsi="Times New Roman" w:cs="Times New Roman"/>
        </w:rPr>
        <w:t>William Waldron, “‘I Came That They May Have Life, and Have It Abundantly</w:t>
      </w:r>
      <w:r w:rsidRPr="00706789">
        <w:rPr>
          <w:rFonts w:ascii="Times New Roman" w:hAnsi="Times New Roman" w:cs="Times New Roman"/>
        </w:rPr>
        <w:t>’ : Reimagining Life-Giving Responses to the Problem of Loneliness among People with Learning Disabilities” (Ph.D., University of Aberdeen, 2012)</w:t>
      </w:r>
      <w:r w:rsidR="00FC2EFC">
        <w:rPr>
          <w:rFonts w:ascii="Times New Roman" w:hAnsi="Times New Roman" w:cs="Times New Roman"/>
        </w:rPr>
        <w:t>, 27.</w:t>
      </w:r>
    </w:p>
    <w:p w14:paraId="1A351CCA" w14:textId="77777777" w:rsidR="008A0A9E" w:rsidRPr="0097296D" w:rsidRDefault="008A0A9E" w:rsidP="00F449FF">
      <w:pPr>
        <w:pStyle w:val="EndnoteText"/>
        <w:ind w:firstLine="720"/>
        <w:rPr>
          <w:rFonts w:ascii="Times New Roman" w:hAnsi="Times New Roman" w:cs="Times New Roman"/>
        </w:rPr>
      </w:pPr>
    </w:p>
  </w:endnote>
  <w:endnote w:id="37">
    <w:p w14:paraId="7F670BAA" w14:textId="022D46A4" w:rsidR="00706789" w:rsidRDefault="00706789" w:rsidP="008A0A9E">
      <w:pPr>
        <w:pStyle w:val="EndnoteText"/>
        <w:ind w:firstLine="720"/>
        <w:rPr>
          <w:rFonts w:ascii="Times New Roman" w:hAnsi="Times New Roman" w:cs="Times New Roman"/>
        </w:rPr>
      </w:pPr>
      <w:r w:rsidRPr="008A0A9E">
        <w:rPr>
          <w:rStyle w:val="EndnoteReference"/>
          <w:rFonts w:ascii="Times New Roman" w:hAnsi="Times New Roman" w:cs="Times New Roman"/>
        </w:rPr>
        <w:endnoteRef/>
      </w:r>
      <w:r w:rsidRPr="008A0A9E">
        <w:rPr>
          <w:rFonts w:ascii="Times New Roman" w:hAnsi="Times New Roman" w:cs="Times New Roman"/>
        </w:rPr>
        <w:t xml:space="preserve"> For an overview of Christian Schools mandate to educate a variety of people from differing backgrounds see Ream and </w:t>
      </w:r>
      <w:r w:rsidRPr="008A0A9E">
        <w:rPr>
          <w:rFonts w:ascii="Times New Roman" w:hAnsi="Times New Roman" w:cs="Times New Roman"/>
        </w:rPr>
        <w:t xml:space="preserve">Glazner, </w:t>
      </w:r>
      <w:r w:rsidRPr="008A0A9E">
        <w:rPr>
          <w:rFonts w:ascii="Times New Roman" w:hAnsi="Times New Roman" w:cs="Times New Roman"/>
          <w:i/>
          <w:iCs/>
        </w:rPr>
        <w:t xml:space="preserve">The Idea of Christian College, </w:t>
      </w:r>
      <w:r w:rsidRPr="008A0A9E">
        <w:rPr>
          <w:rFonts w:ascii="Times New Roman" w:hAnsi="Times New Roman" w:cs="Times New Roman"/>
        </w:rPr>
        <w:t xml:space="preserve">40-42; Robert C. Anderson, </w:t>
      </w:r>
      <w:r w:rsidRPr="008A0A9E">
        <w:rPr>
          <w:rFonts w:ascii="Times New Roman" w:hAnsi="Times New Roman" w:cs="Times New Roman"/>
          <w:i/>
          <w:iCs/>
        </w:rPr>
        <w:t>Graduate Theological Education and the Human Experience of Disability.</w:t>
      </w:r>
      <w:r w:rsidRPr="008A0A9E">
        <w:rPr>
          <w:rFonts w:ascii="Times New Roman" w:hAnsi="Times New Roman" w:cs="Times New Roman"/>
        </w:rPr>
        <w:t xml:space="preserve"> (Haworth Pastoral Press, 2003)</w:t>
      </w:r>
      <w:r>
        <w:rPr>
          <w:rFonts w:ascii="Times New Roman" w:hAnsi="Times New Roman" w:cs="Times New Roman"/>
        </w:rPr>
        <w:t>.</w:t>
      </w:r>
    </w:p>
    <w:p w14:paraId="1DFBC431" w14:textId="77777777" w:rsidR="008A0A9E" w:rsidRPr="008A0A9E" w:rsidRDefault="008A0A9E" w:rsidP="008A0A9E">
      <w:pPr>
        <w:pStyle w:val="EndnoteText"/>
        <w:ind w:firstLine="720"/>
        <w:rPr>
          <w:rFonts w:ascii="Times New Roman" w:hAnsi="Times New Roman" w:cs="Times New Roman"/>
        </w:rPr>
      </w:pPr>
    </w:p>
  </w:endnote>
  <w:endnote w:id="38">
    <w:p w14:paraId="592ADEEC" w14:textId="7562CF91" w:rsidR="00706789" w:rsidRPr="0097296D" w:rsidRDefault="00706789" w:rsidP="00F449FF">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Ream and </w:t>
      </w:r>
      <w:r w:rsidRPr="0097296D">
        <w:rPr>
          <w:rFonts w:ascii="Times New Roman" w:hAnsi="Times New Roman" w:cs="Times New Roman"/>
        </w:rPr>
        <w:t xml:space="preserve">Glanzer, </w:t>
      </w:r>
      <w:r w:rsidRPr="0097296D">
        <w:rPr>
          <w:rFonts w:ascii="Times New Roman" w:hAnsi="Times New Roman" w:cs="Times New Roman"/>
          <w:i/>
          <w:iCs/>
        </w:rPr>
        <w:t>The Idea of a Christian College</w:t>
      </w:r>
      <w:r w:rsidRPr="0097296D">
        <w:rPr>
          <w:rFonts w:ascii="Times New Roman" w:hAnsi="Times New Roman" w:cs="Times New Roman"/>
        </w:rPr>
        <w:t>, 126.</w:t>
      </w:r>
      <w:r w:rsidR="008A0A9E">
        <w:rPr>
          <w:rFonts w:ascii="Times New Roman" w:hAnsi="Times New Roman" w:cs="Times New Roman"/>
        </w:rPr>
        <w:br/>
      </w:r>
    </w:p>
  </w:endnote>
  <w:endnote w:id="39">
    <w:p w14:paraId="658B88F9" w14:textId="1018AC13" w:rsidR="00706789" w:rsidRPr="0097296D" w:rsidRDefault="00706789" w:rsidP="004807F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{"citationID":"kyPjJNuu","properties":{"formattedCitation":"Lyndon G Furst, \\uc0\\u8220{}What Christian Schools Can Learn from the Court: The Case of Special Education,\\uc0\\u8221{} {\\i{}Christian Education Journal} 15, no. 2 (1995): 88\\uc0\\u8211{}93; Julie M. Lane, \\uc0\\u8220{}Special Education Staffing and Service Models in Christian Schools.,\\uc0\\u8221{} {\\i{}Journal of Research on Christian Education} 26, no. 3 (September 2017): 225\\uc0\\u8211{}236.","plainCitation":"Lyndon G Furst, “What Christian Schools Can Learn from the Court: The Case of Special Education,” Christian Education Journal 15, no. 2 (1995): 88–93; Julie M. Lane, “Special Education Staffing and Service Models in Christian Schools.,” Journal of Research on Christian Education 26, no. 3 (September 2017): 225–236.","noteIndex":34},"citationItems":[{"id":1596,"uris":["http://zotero.org/users/6986165/items/LWDVVIQP"],"uri":["http://zotero.org/users/6986165/items/LWDVVIQP"],"itemData":{"id":1596,"type":"article-journal","archive":"Atla Religion Database with AtlaSerials PLUS","container-title":"Christian Education Journal","ISSN":"0739-8913","issue":"2","journalAbbreviation":"Christian Education Journal","page":"88-93","source":"EBSCOhost","title":"What Christian Schools Can Learn from the Court: The Case of Special Education","volume":"15","author":[{"family":"Furst","given":"Lyndon G"}],"issued":{"date-parts":[["1995"]]}}},{"id":1879,"uris":["http://zotero.org/users/6986165/items/KAQSYZYP"],"uri":["http://zotero.org/users/6986165/items/KAQSYZYP"],"itemData":{"id":1879,"type":"article-journal","abstract":"Christian schools are not obligated to accept children with disabilities. However, the growing trend in Christian schools is to serve children with disabilities. Recent literature has begun to identify enrollment trends, areas of disability served, and professional development in Christian schools as it relates to disability. Literature exists regarding Catholic, Lutheran, and non-denominational special education service organizations. However, the current literature neither addresses qualifications of Christian special education staff nor where special education services are provided in Christian schools, regardless of denomination. This study sought to understand the qualifications of current special education teachers in Christian schools in the United States and the mode in which services are delivered to children with disabilities. [ABSTRACT FROM AUTHOR]","archive":"Religion and Philosophy Collection","container-title":"Journal of Research on Christian Education","ISSN":"10656219","issue":"3","journalAbbreviation":"Journal of Research on Christian Education","note":"publisher: Routledge","page":"225-236","source":"EBSCOhost","title":"Special Education Staffing and Service Models in Christian Schools.","volume":"26","author":[{"family":"Lane","given":"Julie M."}],"issued":{"date-parts":[["2017",9]]}}}],"schema":"https://github.com/citation-style-language/schema/raw/master/csl-citation.json"}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Lyndon G Furst, “What Christian Schools Can Learn from the Court: The Case of Special Education,” </w:t>
      </w:r>
      <w:r w:rsidRPr="0097296D">
        <w:rPr>
          <w:rFonts w:ascii="Times New Roman" w:hAnsi="Times New Roman" w:cs="Times New Roman"/>
          <w:i/>
          <w:iCs/>
        </w:rPr>
        <w:t>Christian Education Journal</w:t>
      </w:r>
      <w:r w:rsidRPr="0097296D">
        <w:rPr>
          <w:rFonts w:ascii="Times New Roman" w:hAnsi="Times New Roman" w:cs="Times New Roman"/>
        </w:rPr>
        <w:t xml:space="preserve"> 15, no. 2 (1995): 88–93; Julie M. Lane, “Special Education Staffing and Service Models in Christian Schools.,” </w:t>
      </w:r>
      <w:r w:rsidRPr="0097296D">
        <w:rPr>
          <w:rFonts w:ascii="Times New Roman" w:hAnsi="Times New Roman" w:cs="Times New Roman"/>
          <w:i/>
          <w:iCs/>
        </w:rPr>
        <w:t>Journal of Research on Christian Education</w:t>
      </w:r>
      <w:r w:rsidRPr="0097296D">
        <w:rPr>
          <w:rFonts w:ascii="Times New Roman" w:hAnsi="Times New Roman" w:cs="Times New Roman"/>
        </w:rPr>
        <w:t xml:space="preserve"> 26, no. 3 (September 2017): 225–236.</w:t>
      </w:r>
      <w:r w:rsidRPr="0097296D">
        <w:rPr>
          <w:rFonts w:ascii="Times New Roman" w:hAnsi="Times New Roman" w:cs="Times New Roman"/>
        </w:rPr>
        <w:fldChar w:fldCharType="end"/>
      </w:r>
      <w:r w:rsidRPr="0097296D">
        <w:rPr>
          <w:rFonts w:ascii="Times New Roman" w:hAnsi="Times New Roman" w:cs="Times New Roman"/>
        </w:rPr>
        <w:t xml:space="preserve"> </w:t>
      </w:r>
    </w:p>
    <w:p w14:paraId="6DACEA17" w14:textId="77777777" w:rsidR="00706789" w:rsidRPr="0097296D" w:rsidRDefault="00706789" w:rsidP="004807F2">
      <w:pPr>
        <w:pStyle w:val="EndnoteText"/>
        <w:ind w:firstLine="720"/>
        <w:rPr>
          <w:rFonts w:ascii="Times New Roman" w:hAnsi="Times New Roman" w:cs="Times New Roman"/>
        </w:rPr>
      </w:pPr>
    </w:p>
  </w:endnote>
  <w:endnote w:id="40">
    <w:p w14:paraId="65DC1BAA" w14:textId="1BD706D0" w:rsidR="00706789" w:rsidRPr="0097296D" w:rsidRDefault="00706789" w:rsidP="004807F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{"citationID":"r8bd2bK0","properties":{"formattedCitation":"Donna Marie Bergman, \\uc0\\u8220{}Leadership in the Initiation and Development of Programs for Students with Learning Disabilities in Christian Colleges: Case Studies of Three Institutions,\\uc0\\u8221{} {\\i{}ProQuest Dissertations and Theses} (Ed.D., The University of Arizona, 2007), http://aaron.swbts.edu/login?url=https://www.proquest.com/dissertations-theses/leadership-initiation-development-programs/docview/304894766/se-2?accountid=7073; Naomi H Annandale and Erik W Carter, \\uc0\\u8220{}Disability and Theological Education: A North American Study,\\uc0\\u8221{} {\\i{}Theological Education} 48, no. 2 (2014): 83\\uc0\\u8211{}102.","plainCitation":"Donna Marie Bergman, “Leadership in the Initiation and Development of Programs for Students with Learning Disabilities in Christian Colleges: Case Studies of Three Institutions,” ProQuest Dissertations and Theses (Ed.D., The University of Arizona, 2007), http://aaron.swbts.edu/login?url=https://www.proquest.com/dissertations-theses/leadership-initiation-development-programs/docview/304894766/se-2?accountid=7073; Naomi H Annandale and Erik W Carter, “Disability and Theological Education: A North American Study,” Theological Education 48, no. 2 (2014): 83–102.","noteIndex":35},"citationItems":[{"id":2106,"uris":["http://zotero.org/users/6986165/items/722TYNV8"],"uri":["http://zotero.org/users/6986165/items/722TYNV8"],"itemData":{"id":2106,"type":"thesis","abstract":"This study endeavored to answer the question, what leadership model for change is effective in establishing exemplary programs for students with learning disabilities in private Christian colleges. The focus was on leaders in three private Christian universities who developed programs that positively affected students' success.    This multiple case study of leaders produced evidence that Fullan's change model (2001), which is often utilized by leaders in K-12 education, could be applied to program development in higher education when collaboration is a strategic component in all elements of the model. Interviews about the history and current status of each institution's program explored how leaders in the three institutions effectively implemented programs to assist students with learning disabilities. The interviewees indicated they endeavored to build collaborative relationships to create and share knowledge. Leaders developed collaborative groups to assist in coherence making. The overriding emphasis of the leaders in this study was on collaboration, which permeated all elements of the leadership model for change. Not surprisingly, given the context of the study, the data revealed that the guiding motivation for this service was faith in Christ. While data analysis revealed each leader used most elements of Fullan's (2001) model, there is little evidence of one element of the model, understanding the nature and effects of change.    Findings included the importance of moral purpose, relationship building, knowledge creation and sharing, understanding change, and coherence making in program development. The researcher found three additional elements that seemed to 15 enhance the success of disability services; (1)&amp;#xa0;the leaders' propensity to innovate, (2)&amp;#xa0;the faculty's attitude toward disability services, and (3)&amp;#xa0;the administration's value of disability services. All of these elements functioned through a strong emphasis on collaboration.    Due to the unique nature, culture, and structure of higher education, this study suggests that an emphasis on collaboration by the leaders is essential to all the elements of the model for developing programs for students with disabilities at Christian colleges and universities.","archive":"ProQuest Dissertations &amp; Theses Global: The Humanities and Social Sciences Collection","archive_location":"304894766","event-place":"Ann Arbor","genre":"Ed.D.","language":"English","note":"ISBN: 978-1-109-97700-4\ncontainer-title: ProQuest Dissertations and Theses\n3259925","number-of-pages":"258","publisher":"The University of Arizona","publisher-place":"Ann Arbor","title":"Leadership in the initiation and development of programs for students with learning disabilities in Christian colleges: Case studies of three institutions","URL":"http://aaron.swbts.edu/login?url=https://www.proquest.com/dissertations-theses/leadership-initiation-development-programs/docview/304894766/se-2?accountid=7073","author":[{"family":"Bergman","given":"Donna Marie"}],"issued":{"date-parts":[["2007"]]}}},{"id":2138,"uris":["http://zotero.org/users/6986165/items/U6PW8SDA"],"uri":["http://zotero.org/users/6986165/items/U6PW8SDA"],"itemData":{"id":2138,"type":"article-journal","archive":"Atla Religion Database with AtlaSerials PLUS","container-title":"Theological Education","ISSN":"0040-5620","issue":"2","journalAbbreviation":"Theological Education","page":"83-102","source":"EBSCOhost","title":"Disability and theological education: a North American study","volume":"48","author":[{"family":"Annandale","given":"Naomi H"},{"family":"Carter","given":"Erik W"}],"issued":{"date-parts":[["2014"]]}}}],"schema":"https://github.com/citation-style-language/schema/raw/master/csl-citation.json"}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Donna Marie Bergman, “Leadership in the Initiation and Development of Programs for Students with Learning Disabilities in Christian Colleges: Case Studies of Three Institutions,” </w:t>
      </w:r>
      <w:r w:rsidRPr="0097296D">
        <w:rPr>
          <w:rFonts w:ascii="Times New Roman" w:hAnsi="Times New Roman" w:cs="Times New Roman"/>
          <w:i/>
          <w:iCs/>
        </w:rPr>
        <w:t>ProQuest Dissertations and Theses</w:t>
      </w:r>
      <w:r w:rsidRPr="0097296D">
        <w:rPr>
          <w:rFonts w:ascii="Times New Roman" w:hAnsi="Times New Roman" w:cs="Times New Roman"/>
        </w:rPr>
        <w:t xml:space="preserve"> (Ed.D., The University of Arizona, 2007); Naomi H Annandale and Erik W Carter, “Disability and Theological Education: A North American Study,” </w:t>
      </w:r>
      <w:r w:rsidRPr="0097296D">
        <w:rPr>
          <w:rFonts w:ascii="Times New Roman" w:hAnsi="Times New Roman" w:cs="Times New Roman"/>
          <w:i/>
          <w:iCs/>
        </w:rPr>
        <w:t>Theological Education</w:t>
      </w:r>
      <w:r w:rsidRPr="0097296D">
        <w:rPr>
          <w:rFonts w:ascii="Times New Roman" w:hAnsi="Times New Roman" w:cs="Times New Roman"/>
        </w:rPr>
        <w:t xml:space="preserve"> 48, no. 2 (2014): 83–102.</w:t>
      </w:r>
      <w:r w:rsidRPr="0097296D">
        <w:rPr>
          <w:rFonts w:ascii="Times New Roman" w:hAnsi="Times New Roman" w:cs="Times New Roman"/>
        </w:rPr>
        <w:fldChar w:fldCharType="end"/>
      </w:r>
      <w:r w:rsidRPr="0097296D">
        <w:rPr>
          <w:rFonts w:ascii="Times New Roman" w:hAnsi="Times New Roman" w:cs="Times New Roman"/>
        </w:rPr>
        <w:t xml:space="preserve"> </w:t>
      </w:r>
    </w:p>
    <w:p w14:paraId="3156CF3C" w14:textId="77777777" w:rsidR="00706789" w:rsidRPr="0097296D" w:rsidRDefault="00706789" w:rsidP="004807F2">
      <w:pPr>
        <w:pStyle w:val="EndnoteText"/>
        <w:ind w:firstLine="720"/>
        <w:rPr>
          <w:rFonts w:ascii="Times New Roman" w:hAnsi="Times New Roman" w:cs="Times New Roman"/>
        </w:rPr>
      </w:pPr>
    </w:p>
  </w:endnote>
  <w:endnote w:id="41">
    <w:p w14:paraId="2B7B55B9" w14:textId="232D15E2" w:rsidR="00706789" w:rsidRPr="0097296D" w:rsidRDefault="00706789" w:rsidP="008C732B">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Ream and </w:t>
      </w:r>
      <w:r w:rsidRPr="0097296D">
        <w:rPr>
          <w:rFonts w:ascii="Times New Roman" w:hAnsi="Times New Roman" w:cs="Times New Roman"/>
        </w:rPr>
        <w:t xml:space="preserve">Glanzer, </w:t>
      </w:r>
      <w:r w:rsidRPr="0097296D">
        <w:rPr>
          <w:rFonts w:ascii="Times New Roman" w:hAnsi="Times New Roman" w:cs="Times New Roman"/>
          <w:i/>
          <w:iCs/>
        </w:rPr>
        <w:t>The Idea of a Christian College</w:t>
      </w:r>
      <w:r w:rsidRPr="0097296D">
        <w:rPr>
          <w:rFonts w:ascii="Times New Roman" w:hAnsi="Times New Roman" w:cs="Times New Roman"/>
        </w:rPr>
        <w:t xml:space="preserve">, 125-127; John F. Kilner, “Made in the Image of God,” in </w:t>
      </w:r>
      <w:r w:rsidRPr="0097296D">
        <w:rPr>
          <w:rFonts w:ascii="Times New Roman" w:hAnsi="Times New Roman" w:cs="Times New Roman"/>
          <w:i/>
          <w:iCs/>
        </w:rPr>
        <w:t>Christian Higher Education: Faith, Teaching, and Learning in the Evangelical Tradition</w:t>
      </w:r>
      <w:r w:rsidRPr="0097296D">
        <w:rPr>
          <w:rFonts w:ascii="Times New Roman" w:hAnsi="Times New Roman" w:cs="Times New Roman"/>
        </w:rPr>
        <w:t>, ed. David S. Dockery and Christopher W. Morgan (Wheaton, Illinois: Crossway, 2018)</w:t>
      </w:r>
      <w:r w:rsidR="00F449FF">
        <w:rPr>
          <w:rFonts w:ascii="Times New Roman" w:hAnsi="Times New Roman" w:cs="Times New Roman"/>
        </w:rPr>
        <w:t>:</w:t>
      </w:r>
      <w:r w:rsidRPr="0097296D">
        <w:rPr>
          <w:rFonts w:ascii="Times New Roman" w:hAnsi="Times New Roman" w:cs="Times New Roman"/>
        </w:rPr>
        <w:t xml:space="preserve"> 110;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{"citationID":"RDTXJYbX","properties":{"formattedCitation":"Yong, {\\i{}The Bible, Disability, and the Church}.","plainCitation":"Yong, The Bible, Disability, and the Church.","noteIndex":37},"citationItems":[{"id":2353,"uris":["http://zotero.org/users/6986165/items/CAD5R432"],"uri":["http://zotero.org/users/6986165/items/CAD5R432"],"itemData":{"id":2353,"type":"book","call-number":"BS680.P435 Y66 2011","event-place":"Grand Rapids, Mich","ISBN":"978-0-8028-6608-0","note":"OCLC: ocn707486617","number-of-pages":"161","publisher":"W.B. Eerdmans Pub. Co","publisher-place":"Grand Rapids, Mich","source":"Library of Congress ISBN","title":"The Bible, disability, and the church: a new vision of the people of God","title-short":"The Bible, disability, and the church","author":[{"family":"Yong","given":"Amos"}],"issued":{"date-parts":[["2011"]]}}}],"schema":"https://github.com/citation-style-language/schema/raw/master/csl-citation.json"}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Yong, </w:t>
      </w:r>
      <w:r w:rsidRPr="0097296D">
        <w:rPr>
          <w:rFonts w:ascii="Times New Roman" w:hAnsi="Times New Roman" w:cs="Times New Roman"/>
          <w:i/>
          <w:iCs/>
        </w:rPr>
        <w:t>The Bible, Disability, and the Church</w:t>
      </w:r>
      <w:r w:rsidRPr="0097296D">
        <w:rPr>
          <w:rFonts w:ascii="Times New Roman" w:hAnsi="Times New Roman" w:cs="Times New Roman"/>
        </w:rPr>
        <w:t>.</w:t>
      </w:r>
      <w:r w:rsidRPr="0097296D">
        <w:rPr>
          <w:rFonts w:ascii="Times New Roman" w:hAnsi="Times New Roman" w:cs="Times New Roman"/>
        </w:rPr>
        <w:fldChar w:fldCharType="end"/>
      </w:r>
      <w:r w:rsidRPr="0097296D">
        <w:rPr>
          <w:rFonts w:ascii="Times New Roman" w:hAnsi="Times New Roman" w:cs="Times New Roman"/>
        </w:rPr>
        <w:t xml:space="preserve"> 109-112.</w:t>
      </w:r>
    </w:p>
    <w:p w14:paraId="2A23113E" w14:textId="77777777" w:rsidR="00706789" w:rsidRPr="0097296D" w:rsidRDefault="00706789" w:rsidP="008C732B">
      <w:pPr>
        <w:pStyle w:val="EndnoteText"/>
        <w:ind w:firstLine="720"/>
        <w:rPr>
          <w:rFonts w:ascii="Times New Roman" w:hAnsi="Times New Roman" w:cs="Times New Roman"/>
        </w:rPr>
      </w:pPr>
    </w:p>
  </w:endnote>
  <w:endnote w:id="42">
    <w:p w14:paraId="5C425660" w14:textId="7D00ADBC" w:rsidR="00706789" w:rsidRPr="0097296D" w:rsidRDefault="00706789" w:rsidP="006F5E04">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{"citationID":"lqxWSUEd","properties":{"formattedCitation":"Bergman, \\uc0\\u8220{}Leadership in the Initiation and Development of Programs for Students with Learning Disabilities in Christian Colleges: Case Studies of Three Institutions\\uc0\\u8221{}; Lana L. Cromeenes, \\uc0\\u8220{}Deaf or Hard of Hearing Students\\uc0\\u8217{} Perceived Value of Services Offered at Christian Higher Education Institutions,\\uc0\\u8221{} {\\i{}ProQuest Dissertations and Theses} (D.Phil., Columbia International University, 2019), http://aaron.swbts.edu/login?url=https://www.proquest.com/dissertations-theses/deaf-hard-hearing-students-perceived-value/docview/2379705784/se-2?accountid=7073; Gretchen Marie Wilhelm, \\uc0\\u8220{}Perceived Value of Academic Support Services for Post-Secondary Students with Learning Disabilities at Accredited Institutions of the Association for Biblical Higher Education,\\uc0\\u8221{} {\\i{}ProQuest Dissertations and Theses} (Ed.D., Columbia International University, 2014), http://aaron.swbts.edu/login?url=https://www.proquest.com/dissertations-theses/perceived-value-academic-support-services-post/docview/1527008161/se-2?accountid=7073.","plainCitation":"Bergman, “Leadership in the Initiation and Development of Programs for Students with Learning Disabilities in Christian Colleges: Case Studies of Three Institutions”; Lana L. Cromeenes, “Deaf or Hard of Hearing Students’ Perceived Value of Services Offered at Christian Higher Education Institutions,” ProQuest Dissertations and Theses (D.Phil., Columbia International University, 2019), http://aaron.swbts.edu/login?url=https://www.proquest.com/dissertations-theses/deaf-hard-hearing-students-perceived-value/docview/2379705784/se-2?accountid=7073; Gretchen Marie Wilhelm, “Perceived Value of Academic Support Services for Post-Secondary Students with Learning Disabilities at Accredited Institutions of the Association for Biblical Higher Education,” ProQuest Dissertations and Theses (Ed.D., Columbia International University, 2014), http://aaron.swbts.edu/login?url=https://www.proquest.com/dissertations-theses/perceived-value-academic-support-services-post/docview/1527008161/se-2?accountid=7073.","noteIndex":37},"citationItems":[{"id":2106,"uris":["http://zotero.org/users/6986165/items/722TYNV8"],"uri":["http://zotero.org/users/6986165/items/722TYNV8"],"itemData":{"id":2106,"type":"thesis","abstract":"This study endeavored to answer the question, what leadership model for change is effective in establishing exemplary programs for students with learning disabilities in private Christian colleges. The focus was on leaders in three private Christian universities who developed programs that positively affected students' success.    This multiple case study of leaders produced evidence that Fullan's change model (2001), which is often utilized by leaders in K-12 education, could be applied to program development in higher education when collaboration is a strategic component in all elements of the model. Interviews about the history and current status of each institution's program explored how leaders in the three institutions effectively implemented programs to assist students with learning disabilities. The interviewees indicated they endeavored to build collaborative relationships to create and share knowledge. Leaders developed collaborative groups to assist in coherence making. The overriding emphasis of the leaders in this study was on collaboration, which permeated all elements of the leadership model for change. Not surprisingly, given the context of the study, the data revealed that the guiding motivation for this service was faith in Christ. While data analysis revealed each leader used most elements of Fullan's (2001) model, there is little evidence of one element of the model, understanding the nature and effects of change.    Findings included the importance of moral purpose, relationship building, knowledge creation and sharing, understanding change, and coherence making in program development. The researcher found three additional elements that seemed to 15 enhance the success of disability services; (1)&amp;#xa0;the leaders' propensity to innovate, (2)&amp;#xa0;the faculty's attitude toward disability services, and (3)&amp;#xa0;the administration's value of disability services. All of these elements functioned through a strong emphasis on collaboration.    Due to the unique nature, culture, and structure of higher education, this study suggests that an emphasis on collaboration by the leaders is essential to all the elements of the model for developing programs for students with disabilities at Christian colleges and universities.","archive":"ProQuest Dissertations &amp; Theses Global: The Humanities and Social Sciences Collection","archive_location":"304894766","event-place":"Ann Arbor","genre":"Ed.D.","language":"English","note":"ISBN: 978-1-109-97700-4\ncontainer-title: ProQuest Dissertations and Theses\n3259925","number-of-pages":"258","publisher":"The University of Arizona","publisher-place":"Ann Arbor","title":"Leadership in the initiation and development of programs for students with learning disabilities in Christian colleges: Case studies of three institutions","URL":"http://aaron.swbts.edu/login?url=https://www.proquest.com/dissertations-theses/leadership-initiation-development-programs/docview/304894766/se-2?accountid=7073","author":[{"family":"Bergman","given":"Donna Marie"}],"issued":{"date-parts":[["2007"]]}}},{"id":2100,"uris":["http://zotero.org/users/6986165/items/EB6XRS9L"],"uri":["http://zotero.org/users/6986165/items/EB6XRS9L"],"itemData":{"id":2100,"type":"thesis","abstract":"Deaf or hard of hearing (D/HH) students enrolled in higher education experience barriers and challenges that can hinder academic and social success. Although D/HH are a small but growing population in higher education, the need to research what student services are provided for D/HH and the D/HH students’ perceived value of those services is crucial for developing higher education programs that incorporate best practices and foster success for D/HH students. The participants for this research were D/HH students enrolled in biblical higher education institutions in North America that are members of the Association for Biblical Higher Education (ABHE) and/or the Council for Christian Colleges &amp;amp; Universities (CCCU). D/HH students responded to an online survey. Mixed methods were incorporated with quantitative and qualitative research methods applied, but due to the small sample size (N = 6) findings are limited to this D/HH group. Participants stated that a high percentage of institutions do not offer many environmental services. They reported finding value in all provided services, but extreme value in services that could foster interpersonal relationships, including support personnel who are caring and willing to assist with school rigors and responsibilities. The group also stated that certified ASL interpreters are of highest value for academic success. Further research would benefit continued awareness of D/HH student needs and the learning environments that support their academic and social success in Christian higher education. D/HH students responded that they value community, relational connectedness, and opportunities to work and to contribute to their higher education setting in a positive and productive manner.","archive":"ProQuest Dissertations &amp; Theses Global: The Humanities and Social Sciences Collection","archive_location":"2379705784","event-place":"Ann Arbor","genre":"D.Phil.","language":"English","note":"ISBN: 9781658405324\ncontainer-title: ProQuest Dissertations and Theses\n27668957","number-of-pages":"162","publisher":"Columbia International University","publisher-place":"Ann Arbor","title":"Deaf or Hard of Hearing Students' Perceived Value of Services Offered at Christian Higher Education Institutions","URL":"http://aaron.swbts.edu/login?url=https://www.proquest.com/dissertations-theses/deaf-hard-hearing-students-perceived-value/docview/2379705784/se-2?accountid=7073","author":[{"family":"Cromeenes","given":"Lana L."}],"issued":{"date-parts":[["2019"]]}}},{"id":2109,"uris":["http://zotero.org/users/6986165/items/5P7M6GKN"],"uri":["http://zotero.org/users/6986165/items/5P7M6GKN"],"itemData":{"id":2109,"type":"thesis","abstract":"This study examined the perceived value of academic support service types for post-secondary students with learning disabilities in the Christian higher education milieu. Grounded in a model of service utilization (Pescosolido, 1992), the research methodology applied in this study addressed the following research question: What is the perceived value of academic service types to provide support for individuals with learning disabilities from the perspective of post-secondary student participants, specifically at accredited institutions of the Association for Biblical Higher Education (ABHE)? Results reported student perceptions of the value of academic service types—both personally utilized and theoretically rated. The results of online survey responses, representative of eligible individuals selected by a criterion sampling protocol (N = 116) from 17 colleges and universities, indicated that the categories of accommodations perceived most valuable by students who utilize intervention services were those that were relationally implemented. Student respondents as an aggregate reported personally utilizing all categories of the 16 academic service types set forth by the researcher. Assistive technology was the only category found not to be statistically significant when value rated by survey respondents. Conclusions related to the three qualitative thematic findings emergent from the open-ended survey questions are reported. These qualitative themes include a focus on relational connectedness, the importance of self-understanding, and an expressed concern with the attitudinal perceptions of academic service program offerings. The conclusions of this study are purposed to assist program directors, researchers, and other practitioners in implementing academic services for post-secondary students with learning disabilities.","archive":"ProQuest Dissertations &amp; Theses Global: The Humanities and Social Sciences Collection","archive_location":"1527008161","event-place":"Ann Arbor","genre":"Ed.D.","language":"English","note":"ISBN: 978-1-303-84304-4\ncontainer-title: ProQuest Dissertations and Theses\n3617160","number-of-pages":"212","publisher":"Columbia International University","publisher-place":"Ann Arbor","title":"Perceived Value of Academic Support Services for Post-secondary Students with Learning Disabilities at Accredited Institutions of the Association for Biblical Higher Education","URL":"http://aaron.swbts.edu/login?url=https://www.proquest.com/dissertations-theses/perceived-value-academic-support-services-post/docview/1527008161/se-2?accountid=7073","author":[{"family":"Wilhelm","given":"Gretchen Marie"}],"issued":{"date-parts":[["2014"]]}}}],"schema":"https://github.com/citation-style-language/schema/raw/master/csl-citation.json"}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Bergman, “Leadership in the Initiation and Development of Programs for Students with Learning Disabilities in Christian Colleges: Case Studies of Three Institutions”; Lana L. Cromeenes, “Deaf or Hard of Hearing Students’ Perceived Value of Services Offered at Christian Higher Education Institutions,” </w:t>
      </w:r>
      <w:r w:rsidRPr="0097296D">
        <w:rPr>
          <w:rFonts w:ascii="Times New Roman" w:hAnsi="Times New Roman" w:cs="Times New Roman"/>
          <w:i/>
          <w:iCs/>
        </w:rPr>
        <w:t>ProQuest Dissertations and Theses</w:t>
      </w:r>
      <w:r w:rsidRPr="0097296D">
        <w:rPr>
          <w:rFonts w:ascii="Times New Roman" w:hAnsi="Times New Roman" w:cs="Times New Roman"/>
        </w:rPr>
        <w:t xml:space="preserve"> (D.Phil., Columbia International University, 2019),; Gretchen Marie Wilhelm, “Perceived Value of Academic Support Services for Post-Secondary Students with Learning Disabilities at Accredited Institutions of the Association for Biblical Higher Education,” </w:t>
      </w:r>
      <w:r w:rsidRPr="0097296D">
        <w:rPr>
          <w:rFonts w:ascii="Times New Roman" w:hAnsi="Times New Roman" w:cs="Times New Roman"/>
          <w:i/>
          <w:iCs/>
        </w:rPr>
        <w:t>ProQuest Dissertations and Theses</w:t>
      </w:r>
      <w:r w:rsidRPr="0097296D">
        <w:rPr>
          <w:rFonts w:ascii="Times New Roman" w:hAnsi="Times New Roman" w:cs="Times New Roman"/>
        </w:rPr>
        <w:t xml:space="preserve"> (Ed.D., Columbia International University, 2014</w:t>
      </w:r>
      <w:r w:rsidR="008A0A9E">
        <w:rPr>
          <w:rFonts w:ascii="Times New Roman" w:hAnsi="Times New Roman" w:cs="Times New Roman"/>
        </w:rPr>
        <w:t>)</w:t>
      </w:r>
      <w:r w:rsidRPr="0097296D">
        <w:rPr>
          <w:rFonts w:ascii="Times New Roman" w:hAnsi="Times New Roman" w:cs="Times New Roman"/>
        </w:rPr>
        <w:t>.</w:t>
      </w:r>
      <w:r w:rsidRPr="0097296D">
        <w:rPr>
          <w:rFonts w:ascii="Times New Roman" w:hAnsi="Times New Roman" w:cs="Times New Roman"/>
        </w:rPr>
        <w:fldChar w:fldCharType="end"/>
      </w:r>
      <w:r w:rsidRPr="0097296D">
        <w:rPr>
          <w:rFonts w:ascii="Times New Roman" w:hAnsi="Times New Roman" w:cs="Times New Roman"/>
        </w:rPr>
        <w:t xml:space="preserve"> </w:t>
      </w:r>
    </w:p>
    <w:p w14:paraId="6148C8D6" w14:textId="77777777" w:rsidR="00706789" w:rsidRPr="0097296D" w:rsidRDefault="00706789" w:rsidP="006F5E04">
      <w:pPr>
        <w:pStyle w:val="EndnoteText"/>
        <w:ind w:firstLine="720"/>
        <w:rPr>
          <w:rFonts w:ascii="Times New Roman" w:hAnsi="Times New Roman" w:cs="Times New Roman"/>
        </w:rPr>
      </w:pPr>
    </w:p>
  </w:endnote>
  <w:endnote w:id="43">
    <w:p w14:paraId="003A266F" w14:textId="1F5EB9C1" w:rsidR="00706789" w:rsidRPr="0097296D" w:rsidRDefault="00706789" w:rsidP="004807F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Psalm 139:13-14</w:t>
      </w:r>
    </w:p>
    <w:p w14:paraId="1008F0EA" w14:textId="77777777" w:rsidR="00706789" w:rsidRPr="0097296D" w:rsidRDefault="00706789" w:rsidP="004807F2">
      <w:pPr>
        <w:pStyle w:val="EndnoteText"/>
        <w:ind w:firstLine="720"/>
        <w:rPr>
          <w:rFonts w:ascii="Times New Roman" w:hAnsi="Times New Roman" w:cs="Times New Roman"/>
        </w:rPr>
      </w:pPr>
    </w:p>
  </w:endnote>
  <w:endnote w:id="44">
    <w:p w14:paraId="4724746B" w14:textId="4AA50D67" w:rsidR="00706789" w:rsidRPr="008A0A9E" w:rsidRDefault="00706789" w:rsidP="0053292E">
      <w:pPr>
        <w:pStyle w:val="EndnoteText"/>
        <w:ind w:firstLine="720"/>
        <w:rPr>
          <w:rFonts w:ascii="Times New Roman" w:hAnsi="Times New Roman" w:cs="Times New Roman"/>
        </w:rPr>
      </w:pPr>
      <w:r w:rsidRPr="008A0A9E">
        <w:rPr>
          <w:rStyle w:val="EndnoteReference"/>
          <w:rFonts w:ascii="Times New Roman" w:hAnsi="Times New Roman" w:cs="Times New Roman"/>
        </w:rPr>
        <w:endnoteRef/>
      </w:r>
      <w:r w:rsidRPr="008A0A9E">
        <w:rPr>
          <w:rFonts w:ascii="Times New Roman" w:hAnsi="Times New Roman" w:cs="Times New Roman"/>
        </w:rPr>
        <w:t xml:space="preserve"> </w:t>
      </w:r>
      <w:r w:rsidRPr="0053292E">
        <w:rPr>
          <w:rFonts w:ascii="Times New Roman" w:hAnsi="Times New Roman" w:cs="Times New Roman"/>
        </w:rPr>
        <w:t xml:space="preserve">Michael S. C. Thomas, Daniel Ansari, and Victoria C. P. </w:t>
      </w:r>
      <w:r w:rsidRPr="0053292E">
        <w:rPr>
          <w:rFonts w:ascii="Times New Roman" w:hAnsi="Times New Roman" w:cs="Times New Roman"/>
        </w:rPr>
        <w:t xml:space="preserve">Knowland, “Annual Research Review: Educational Neuroscience: Progress and Prospects,” </w:t>
      </w:r>
      <w:r w:rsidRPr="0053292E">
        <w:rPr>
          <w:rFonts w:ascii="Times New Roman" w:hAnsi="Times New Roman" w:cs="Times New Roman"/>
          <w:i/>
          <w:iCs/>
        </w:rPr>
        <w:t>Journal of Child Psychology and Psychiatry</w:t>
      </w:r>
      <w:r w:rsidRPr="0053292E">
        <w:rPr>
          <w:rFonts w:ascii="Times New Roman" w:hAnsi="Times New Roman" w:cs="Times New Roman"/>
        </w:rPr>
        <w:t xml:space="preserve"> 60, no. 4 (April 2019): 477–492.</w:t>
      </w:r>
    </w:p>
    <w:p w14:paraId="74988773" w14:textId="77777777" w:rsidR="00706789" w:rsidRDefault="00706789" w:rsidP="008A0A9E">
      <w:pPr>
        <w:pStyle w:val="EndnoteText"/>
        <w:ind w:firstLine="720"/>
      </w:pPr>
    </w:p>
  </w:endnote>
  <w:endnote w:id="45">
    <w:p w14:paraId="25CC0DE4" w14:textId="331A2867" w:rsidR="00706789" w:rsidRPr="0097296D" w:rsidRDefault="00706789" w:rsidP="00B10F5C">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{"citationID":"5gjvjBV7","properties":{"formattedCitation":"Aldrich, \\uc0\\u8220{}Neuroscience, Education and the Evolution of the Human Brain.\\uc0\\u8221{}","plainCitation":"Aldrich, “Neuroscience, Education and the Evolution of the Human Brain.”","noteIndex":39},"citationItems":[{"id":2339,"uris":["http://zotero.org/users/6986165/items/Z8887MPM"],"uri":["http://zotero.org/users/6986165/items/Z8887MPM"],"itemData":{"id":2339,"type":"article-journal","abstract":"This article has two purposes. The first is to bring current developments in neuroscience, including educational neuroscience, to the attention of historians of education. The second is to demonstrate how historians of education, in common with philosophers, psychologists and sociologists, can contribute to this new field. Education has replaced natural selection in human evolution. Symbolic representations, speech, memory, writing, printing, screen-based communications and various mood-changing activities have shaped and are continuing to shape the human brain. It is argued here that by taking a longer historical perspective and recognising the brain as a palimpsest or kluge, historians of education can help to explain the limitations of neuroplasticity and some of the fundamental problems that beset formal educational systems. Just as education needs to be afforded a more central role in the history of human evolution, so the brain needs to be given a more central role in the history of education. [ABSTRACT FROM AUTHOR]","archive":"Professional Development Collection","container-title":"History of Education","ISSN":"0046760X","issue":"3","journalAbbreviation":"History of Education","note":"publisher: Routledge","page":"396-410","source":"EBSCOhost","title":"Neuroscience, education and the evolution of the human brain.","volume":"42","author":[{"family":"Aldrich","given":"Richard"}],"issued":{"date-parts":[["2013",5]]}}}],"schema":"https://github.com/citation-style-language/schema/raw/master/csl-citation.json"}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Aldrich, “Neuroscience, Education and the Evolution of the Human Brain.”</w:t>
      </w:r>
      <w:r w:rsidRPr="0097296D">
        <w:rPr>
          <w:rFonts w:ascii="Times New Roman" w:hAnsi="Times New Roman" w:cs="Times New Roman"/>
        </w:rPr>
        <w:fldChar w:fldCharType="end"/>
      </w:r>
      <w:r w:rsidRPr="0097296D">
        <w:rPr>
          <w:rFonts w:ascii="Times New Roman" w:hAnsi="Times New Roman" w:cs="Times New Roman"/>
        </w:rPr>
        <w:t xml:space="preserve"> 396-398.</w:t>
      </w:r>
    </w:p>
    <w:p w14:paraId="72A6DBA8" w14:textId="77777777" w:rsidR="00706789" w:rsidRPr="0097296D" w:rsidRDefault="00706789" w:rsidP="00B10F5C">
      <w:pPr>
        <w:pStyle w:val="EndnoteText"/>
        <w:ind w:firstLine="720"/>
        <w:rPr>
          <w:rFonts w:ascii="Times New Roman" w:hAnsi="Times New Roman" w:cs="Times New Roman"/>
        </w:rPr>
      </w:pPr>
    </w:p>
  </w:endnote>
  <w:endnote w:id="46">
    <w:p w14:paraId="15E2060A" w14:textId="086DE93D" w:rsidR="00706789" w:rsidRPr="0097296D" w:rsidRDefault="00706789" w:rsidP="004807F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{"citationID":"Fgel7P0O","properties":{"formattedCitation":"Muriel I. Elmer and Duane Elmer, {\\i{}The Learning Cycle: Insights for Faithful Teaching from Neuroscience and the Social Sciences} (Downers Grove. Illinois: IVP Academic, an imprint of InterVarsity Press, 2020).","plainCitation":"Muriel I. Elmer and Duane Elmer, The Learning Cycle: Insights for Faithful Teaching from Neuroscience and the Social Sciences (Downers Grove. Illinois: IVP Academic, an imprint of InterVarsity Press, 2020).","noteIndex":40},"citationItems":[{"id":1458,"uris":["http://zotero.org/users/6986165/items/DSEX9GDL"],"uri":["http://zotero.org/users/6986165/items/DSEX9GDL"],"itemData":{"id":1458,"type":"book","abstract":"\"With insights from neuroscience, educational psychology, and learning theory, veteran educators Muriel and Duane Elmer provide a holistic model for how learning takes place. Their learning cycle moves beyond mere recall of information to helping learners value and apply their learning in ways that are integrated into behavior and practice\"--","call-number":"BV1464","event-place":"Downers Grove. Illinois","ISBN":"978-0-8308-5530-8","number-of-pages":"1","publisher":"IVP Academic, an imprint of InterVarsity Press","publisher-place":"Downers Grove. Illinois","source":"Library of Congress ISBN","title":"The learning cycle: insights for faithful teaching from neuroscience and the social sciences","title-short":"The learning cycle","author":[{"family":"Elmer","given":"Muriel I."},{"family":"Elmer","given":"Duane"}],"issued":{"date-parts":[["2020"]]}}}],"schema":"https://github.com/citation-style-language/schema/raw/master/csl-citation.json"}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Muriel I. Elmer and Duane Elmer, </w:t>
      </w:r>
      <w:r w:rsidRPr="0097296D">
        <w:rPr>
          <w:rFonts w:ascii="Times New Roman" w:hAnsi="Times New Roman" w:cs="Times New Roman"/>
          <w:i/>
          <w:iCs/>
        </w:rPr>
        <w:t>The Learning Cycle: Insights for Faithful Teaching from Neuroscience and the Social Sciences</w:t>
      </w:r>
      <w:r w:rsidRPr="0097296D">
        <w:rPr>
          <w:rFonts w:ascii="Times New Roman" w:hAnsi="Times New Roman" w:cs="Times New Roman"/>
        </w:rPr>
        <w:t xml:space="preserve"> (Downers Grove. Illinois: IVP Academic, an imprint of InterVarsity Press, 2020).</w:t>
      </w:r>
      <w:r w:rsidRPr="0097296D">
        <w:rPr>
          <w:rFonts w:ascii="Times New Roman" w:hAnsi="Times New Roman" w:cs="Times New Roman"/>
        </w:rPr>
        <w:fldChar w:fldCharType="end"/>
      </w:r>
      <w:r w:rsidRPr="0097296D">
        <w:rPr>
          <w:rFonts w:ascii="Times New Roman" w:hAnsi="Times New Roman" w:cs="Times New Roman"/>
        </w:rPr>
        <w:t xml:space="preserve"> </w:t>
      </w:r>
    </w:p>
    <w:p w14:paraId="311C0BD3" w14:textId="77777777" w:rsidR="00706789" w:rsidRPr="0097296D" w:rsidRDefault="00706789" w:rsidP="004807F2">
      <w:pPr>
        <w:pStyle w:val="EndnoteText"/>
        <w:ind w:firstLine="720"/>
        <w:rPr>
          <w:rFonts w:ascii="Times New Roman" w:hAnsi="Times New Roman" w:cs="Times New Roman"/>
        </w:rPr>
      </w:pPr>
    </w:p>
  </w:endnote>
  <w:endnote w:id="47">
    <w:p w14:paraId="1D0BC0B9" w14:textId="7B997C1C" w:rsidR="00706789" w:rsidRPr="0097296D" w:rsidRDefault="00706789" w:rsidP="00635EC6">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{"citationID":"brlrhP5e","properties":{"formattedCitation":"Jillian Budd et al., \\uc0\\u8220{}Postsecondary Students with Specific Learning Disabilities and with Attention Deficit Hyperactivity Disorder Should Not Be Considered as a Unified Group for Research or Practice,\\uc0\\u8221{} {\\i{}Journal of Education and Training Studies} 4, no. 4 (April 1, 2016): 206\\uc0\\u8211{}216.","plainCitation":"Jillian Budd et al., “Postsecondary Students with Specific Learning Disabilities and with Attention Deficit Hyperactivity Disorder Should Not Be Considered as a Unified Group for Research or Practice,” Journal of Education and Training Studies 4, no. 4 (April 1, 2016): 206–216.","noteIndex":41},"citationItems":[{"id":1828,"uris":["http://zotero.org/users/6986165/items/CBF8I3IX"],"uri":["http://zotero.org/users/6986165/items/CBF8I3IX"],"itemData":{"id":1828,"type":"article-journal","abstract":"Objective: To examine similarities and differences among college/university students with ADHD, LD, and comorbid ADHD and LD on variables related to academic performance. Method: Students who self-reported ADHD (n = 42), LD (n = 72), or comorbid ADHD and LD (n = 42), completed an online questionnaire which evaluated grades, parental education, course and social self-efficacy, and personal and school related obstacles and facilitators. Results: Students with ADHD (with or without comorbidity) reported the worst grades, personal situations (e.g., study habits, personal motivation), and course-related self-efficacy (e.g., time management, keeping up-to-date with school work). The single exception was that students with ADHD had more confidence in understanding textbooks than students with LD. Comorbid ADHD and LD sometimes led to worse outcomes than LD or ADHD alone. Conclusion: The common practice of combining all three groups, \"LD and/or ADHD\", should be avoided. Suggestions are made about what could be done to help students with ADHD.","archive":"ERIC","archive_location":"Redfame Publishing Inc. 9450 SW Gemini Drive #99416, Beaverton, OR 97008. Tel: 503-828-0536 ext. 503; Fax: 503-828-0537; e-mail: jets@redfame.com; Web site: http://jets.redfame.com","container-title":"Journal of Education and Training Studies","ISSN":"2324-805X","issue":"4","journalAbbreviation":"Journal of Education and Training Studies","note":"publisher: Journal of Education and Training Studies","page":"206-216","source":"EBSCOhost","title":"Postsecondary Students with Specific Learning Disabilities and with Attention Deficit Hyperactivity Disorder Should Not Be Considered as a Unified Group for Research or Practice","volume":"4","author":[{"family":"Budd","given":"Jillian"},{"family":"Fichten","given":"Catherine S."},{"family":"Jorgensen","given":"Mary"},{"family":"Havel","given":"Alice"},{"family":"Flanagan","given":"Tara"}],"issued":{"date-parts":[["2016",4,1]]}}}],"schema":"https://github.com/citation-style-language/schema/raw/master/csl-citation.json"}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Jillian Budd et al., “Postsecondary Students with Specific Learning Disabilities and with Attention Deficit Hyperactivity Disorder Should Not Be Considered as a Unified Group for Research or Practice,” </w:t>
      </w:r>
      <w:r w:rsidRPr="0097296D">
        <w:rPr>
          <w:rFonts w:ascii="Times New Roman" w:hAnsi="Times New Roman" w:cs="Times New Roman"/>
          <w:i/>
          <w:iCs/>
        </w:rPr>
        <w:t>Journal of Education and Training Studies</w:t>
      </w:r>
      <w:r w:rsidRPr="0097296D">
        <w:rPr>
          <w:rFonts w:ascii="Times New Roman" w:hAnsi="Times New Roman" w:cs="Times New Roman"/>
        </w:rPr>
        <w:t xml:space="preserve"> 4, no. 4 (April 1, 2016): 206–216.</w:t>
      </w:r>
      <w:r w:rsidRPr="0097296D">
        <w:rPr>
          <w:rFonts w:ascii="Times New Roman" w:hAnsi="Times New Roman" w:cs="Times New Roman"/>
        </w:rPr>
        <w:fldChar w:fldCharType="end"/>
      </w:r>
      <w:r w:rsidRPr="0097296D">
        <w:rPr>
          <w:rFonts w:ascii="Times New Roman" w:hAnsi="Times New Roman" w:cs="Times New Roman"/>
        </w:rPr>
        <w:t xml:space="preserve"> </w:t>
      </w:r>
    </w:p>
    <w:p w14:paraId="5ECD4646" w14:textId="77777777" w:rsidR="00706789" w:rsidRPr="0097296D" w:rsidRDefault="00706789">
      <w:pPr>
        <w:pStyle w:val="EndnoteText"/>
        <w:rPr>
          <w:rFonts w:ascii="Times New Roman" w:hAnsi="Times New Roman" w:cs="Times New Roman"/>
        </w:rPr>
      </w:pPr>
    </w:p>
  </w:endnote>
  <w:endnote w:id="48">
    <w:p w14:paraId="733F5395" w14:textId="70BCA61C" w:rsidR="00706789" w:rsidRPr="0097296D" w:rsidRDefault="00706789" w:rsidP="004807F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{"citationID":"BKIb9eQs","properties":{"formattedCitation":"Whitman and Kelleher, {\\i{}Neuroteach}; Peter C. Brown, {\\i{}Make It Stick: The Science of Successful Learning} (Cambridge, Massachusetts: The Belknap Press of Harvard University Press, 2014); Elmer and Elmer, {\\i{}The Learning Cycle}.","plainCitation":"Whitman and Kelleher, Neuroteach; Peter C. Brown, Make It Stick: The Science of Successful Learning (Cambridge, Massachusetts: The Belknap Press of Harvard University Press, 2014); Elmer and Elmer, The Learning Cycle.","noteIndex":42},"citationItems":[{"id":2118,"uris":["http://zotero.org/users/6986165/items/EK73EIQW"],"uri":["http://zotero.org/users/6986165/items/EK73EIQW"],"itemData":{"id":2118,"type":"book","call-number":"QP360.5 .W47 2016","event-place":"Lanham","ISBN":"978-1-4758-2534-3","number-of-pages":"224","publisher":"Rowman &amp; Littlefield","publisher-place":"Lanham","source":"Library of Congress ISBN","title":"Neuroteach: brain science and the future of education","title-short":"Neuroteach","author":[{"family":"Whitman","given":"Glenn"},{"family":"Kelleher","given":"Ian"}],"issued":{"date-parts":[["2016"]]}}},{"id":2117,"uris":["http://zotero.org/users/6986165/items/MUM7JPN8"],"uri":["http://zotero.org/users/6986165/items/MUM7JPN8"],"itemData":{"id":2117,"type":"book","call-number":"LB1060 .B768 2014","event-place":"Cambridge, Massachusetts","ISBN":"978-0-674-72901-8","number-of-pages":"313","publisher":"The Belknap Press of Harvard University Press","publisher-place":"Cambridge, Massachusetts","source":"Library of Congress ISBN","title":"Make it stick: the science of successful learning","title-short":"Make it stick","author":[{"family":"Brown","given":"Peter C."}],"issued":{"date-parts":[["2014"]]}}},{"id":1458,"uris":["http://zotero.org/users/6986165/items/DSEX9GDL"],"uri":["http://zotero.org/users/6986165/items/DSEX9GDL"],"itemData":{"id":1458,"type":"book","abstract":"\"With insights from neuroscience, educational psychology, and learning theory, veteran educators Muriel and Duane Elmer provide a holistic model for how learning takes place. Their learning cycle moves beyond mere recall of information to helping learners value and apply their learning in ways that are integrated into behavior and practice\"--","call-number":"BV1464","event-place":"Downers Grove. Illinois","ISBN":"978-0-8308-5530-8","number-of-pages":"1","publisher":"IVP Academic, an imprint of InterVarsity Press","publisher-place":"Downers Grove. Illinois","source":"Library of Congress ISBN","title":"The learning cycle: insights for faithful teaching from neuroscience and the social sciences","title-short":"The learning cycle","author":[{"family":"Elmer","given":"Muriel I."},{"family":"Elmer","given":"Duane"}],"issued":{"date-parts":[["2020"]]}}}],"schema":"https://github.com/citation-style-language/schema/raw/master/csl-citation.json"}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Whitman and Kelleher, </w:t>
      </w:r>
      <w:r w:rsidRPr="0097296D">
        <w:rPr>
          <w:rFonts w:ascii="Times New Roman" w:hAnsi="Times New Roman" w:cs="Times New Roman"/>
          <w:i/>
          <w:iCs/>
        </w:rPr>
        <w:t>Neuroteach</w:t>
      </w:r>
      <w:r w:rsidRPr="0097296D">
        <w:rPr>
          <w:rFonts w:ascii="Times New Roman" w:hAnsi="Times New Roman" w:cs="Times New Roman"/>
        </w:rPr>
        <w:t xml:space="preserve">; Peter C. Brown, </w:t>
      </w:r>
      <w:r w:rsidRPr="0097296D">
        <w:rPr>
          <w:rFonts w:ascii="Times New Roman" w:hAnsi="Times New Roman" w:cs="Times New Roman"/>
          <w:i/>
          <w:iCs/>
        </w:rPr>
        <w:t>Make It Stick: The Science of Successful Learning</w:t>
      </w:r>
      <w:r w:rsidRPr="0097296D">
        <w:rPr>
          <w:rFonts w:ascii="Times New Roman" w:hAnsi="Times New Roman" w:cs="Times New Roman"/>
        </w:rPr>
        <w:t xml:space="preserve"> (Cambridge, Massachusetts: The Belknap Press of Harvard University Press, 2014); Elmer and Elmer, </w:t>
      </w:r>
      <w:r w:rsidRPr="0097296D">
        <w:rPr>
          <w:rFonts w:ascii="Times New Roman" w:hAnsi="Times New Roman" w:cs="Times New Roman"/>
          <w:i/>
          <w:iCs/>
        </w:rPr>
        <w:t>The Learning Cycle</w:t>
      </w:r>
      <w:r w:rsidRPr="0097296D">
        <w:rPr>
          <w:rFonts w:ascii="Times New Roman" w:hAnsi="Times New Roman" w:cs="Times New Roman"/>
        </w:rPr>
        <w:t>.</w:t>
      </w:r>
      <w:r w:rsidRPr="0097296D">
        <w:rPr>
          <w:rFonts w:ascii="Times New Roman" w:hAnsi="Times New Roman" w:cs="Times New Roman"/>
        </w:rPr>
        <w:fldChar w:fldCharType="end"/>
      </w:r>
      <w:r w:rsidRPr="0097296D">
        <w:rPr>
          <w:rFonts w:ascii="Times New Roman" w:hAnsi="Times New Roman" w:cs="Times New Roman"/>
        </w:rPr>
        <w:t xml:space="preserve"> </w:t>
      </w:r>
    </w:p>
    <w:p w14:paraId="42F9FBF3" w14:textId="77777777" w:rsidR="00706789" w:rsidRPr="0097296D" w:rsidRDefault="00706789" w:rsidP="004807F2">
      <w:pPr>
        <w:pStyle w:val="EndnoteText"/>
        <w:ind w:firstLine="720"/>
        <w:rPr>
          <w:rFonts w:ascii="Times New Roman" w:hAnsi="Times New Roman" w:cs="Times New Roman"/>
        </w:rPr>
      </w:pPr>
    </w:p>
  </w:endnote>
  <w:endnote w:id="49">
    <w:p w14:paraId="79E060E9" w14:textId="6B79A5B0" w:rsidR="00706789" w:rsidRPr="0097296D" w:rsidRDefault="00706789" w:rsidP="000F0534">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{"citationID":"U8NCRuII","properties":{"formattedCitation":"Sanne Dekker et al., \\uc0\\u8220{}Neuromyths in Education: Prevalence and Predictors of Misconceptions among Teachers,\\uc0\\u8221{} {\\i{}Frontiers in Psychology} 3 (2012), accessed June 2, 2021, http://journal.frontiersin.org/article/10.3389/fpsyg.2012.00429/abstract.","plainCitation":"Sanne Dekker et al., “Neuromyths in Education: Prevalence and Predictors of Misconceptions among Teachers,” Frontiers in Psychology 3 (2012), accessed June 2, 2021, http://journal.frontiersin.org/article/10.3389/fpsyg.2012.00429/abstract.","noteIndex":43},"citationItems":[{"id":2336,"uris":["http://zotero.org/users/6986165/items/QZMIW7A9"],"uri":["http://zotero.org/users/6986165/items/QZMIW7A9"],"itemData":{"id":2336,"type":"article-journal","container-title":"Frontiers in Psychology","DOI":"10.3389/fpsyg.2012.00429","ISSN":"1664-1078","journalAbbreviation":"Front. Psychology","source":"DOI.org (Crossref)","title":"Neuromyths in Education: Prevalence and Predictors of Misconceptions among Teachers","title-short":"Neuromyths in Education","URL":"http://journal.frontiersin.org/article/10.3389/fpsyg.2012.00429/abstract","volume":"3","author":[{"family":"Dekker","given":"Sanne"},{"family":"Lee","given":"Nikki C."},{"family":"Howard-Jones","given":"Paul"},{"family":"Jolles","given":"Jelle"}],"accessed":{"date-parts":[["2021",6,2]]},"issued":{"date-parts":[["2012"]]}}}],"schema":"https://github.com/citation-style-language/schema/raw/master/csl-citation.json"}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Sanne Dekker et al., “Neuromyths in Education: Prevalence and Predictors of Misconceptions among Teachers,” </w:t>
      </w:r>
      <w:r w:rsidRPr="0097296D">
        <w:rPr>
          <w:rFonts w:ascii="Times New Roman" w:hAnsi="Times New Roman" w:cs="Times New Roman"/>
          <w:i/>
          <w:iCs/>
        </w:rPr>
        <w:t>Frontiers in Psychology</w:t>
      </w:r>
      <w:r w:rsidRPr="0097296D">
        <w:rPr>
          <w:rFonts w:ascii="Times New Roman" w:hAnsi="Times New Roman" w:cs="Times New Roman"/>
        </w:rPr>
        <w:t xml:space="preserve"> 3 (2012)</w:t>
      </w:r>
      <w:r w:rsidR="00F449FF">
        <w:rPr>
          <w:rFonts w:ascii="Times New Roman" w:hAnsi="Times New Roman" w:cs="Times New Roman"/>
        </w:rPr>
        <w:t>:</w:t>
      </w:r>
      <w:r w:rsidR="00F449FF" w:rsidRPr="0097296D" w:rsidDel="00F449FF">
        <w:rPr>
          <w:rFonts w:ascii="Times New Roman" w:hAnsi="Times New Roman" w:cs="Times New Roman"/>
        </w:rPr>
        <w:t xml:space="preserve"> </w:t>
      </w:r>
      <w:r w:rsidRPr="0097296D">
        <w:rPr>
          <w:rFonts w:ascii="Times New Roman" w:hAnsi="Times New Roman" w:cs="Times New Roman"/>
        </w:rPr>
        <w:fldChar w:fldCharType="end"/>
      </w:r>
      <w:r w:rsidRPr="0097296D">
        <w:rPr>
          <w:rFonts w:ascii="Times New Roman" w:hAnsi="Times New Roman" w:cs="Times New Roman"/>
        </w:rPr>
        <w:t xml:space="preserve">2. </w:t>
      </w:r>
    </w:p>
    <w:p w14:paraId="61297620" w14:textId="77777777" w:rsidR="00706789" w:rsidRPr="0097296D" w:rsidRDefault="00706789" w:rsidP="000F0534">
      <w:pPr>
        <w:pStyle w:val="EndnoteText"/>
        <w:ind w:firstLine="720"/>
        <w:rPr>
          <w:rFonts w:ascii="Times New Roman" w:hAnsi="Times New Roman" w:cs="Times New Roman"/>
        </w:rPr>
      </w:pPr>
    </w:p>
  </w:endnote>
  <w:endnote w:id="50">
    <w:p w14:paraId="5656AD68" w14:textId="5B013567" w:rsidR="00706789" w:rsidRPr="0097296D" w:rsidRDefault="00706789" w:rsidP="000F0534">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{"citationID":"1Ig43wLw","properties":{"formattedCitation":"Camilla K. Gilmore, Shannon E. McCarthy, and Elizabeth S. Spelke, \\uc0\\u8220{}Symbolic Arithmetic Knowledge without Instruction,\\uc0\\u8221{} {\\i{}Nature} 447, no. 7144 (May 2007): 589\\uc0\\u8211{}591.","plainCitation":"Camilla K. Gilmore, Shannon E. McCarthy, and Elizabeth S. Spelke, “Symbolic Arithmetic Knowledge without Instruction,” Nature 447, no. 7144 (May 2007): 589–591.","noteIndex":44},"citationItems":[{"id":2341,"uris":["http://zotero.org/users/6986165/items/LYPYK69U"],"uri":["http://zotero.org/users/6986165/items/LYPYK69U"],"itemData":{"id":2341,"type":"article-journal","container-title":"Nature","DOI":"10.1038/nature05850","ISSN":"0028-0836, 1476-4687","issue":"7144","journalAbbreviation":"Nature","language":"en","page":"589-591","source":"DOI.org (Crossref)","title":"Symbolic arithmetic knowledge without instruction","volume":"447","author":[{"family":"Gilmore","given":"Camilla K."},{"family":"McCarthy","given":"Shannon E."},{"family":"Spelke","given":"Elizabeth S."}],"issued":{"date-parts":[["2007",5]]}}}],"schema":"https://github.com/citation-style-language/schema/raw/master/csl-citation.json"}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Camilla K. Gilmore, Shannon E. McCarthy, and Elizabeth S. Spelke, “Symbolic Arithmetic Knowledge without Instruction,” </w:t>
      </w:r>
      <w:r w:rsidRPr="0097296D">
        <w:rPr>
          <w:rFonts w:ascii="Times New Roman" w:hAnsi="Times New Roman" w:cs="Times New Roman"/>
          <w:i/>
          <w:iCs/>
        </w:rPr>
        <w:t>Nature</w:t>
      </w:r>
      <w:r w:rsidRPr="0097296D">
        <w:rPr>
          <w:rFonts w:ascii="Times New Roman" w:hAnsi="Times New Roman" w:cs="Times New Roman"/>
        </w:rPr>
        <w:t xml:space="preserve"> 447, no. 7144 (May 2007): 589–591.</w:t>
      </w:r>
      <w:r w:rsidRPr="0097296D">
        <w:rPr>
          <w:rFonts w:ascii="Times New Roman" w:hAnsi="Times New Roman" w:cs="Times New Roman"/>
        </w:rPr>
        <w:fldChar w:fldCharType="end"/>
      </w:r>
    </w:p>
    <w:p w14:paraId="37DDEEF6" w14:textId="77777777" w:rsidR="00706789" w:rsidRPr="0097296D" w:rsidRDefault="00706789" w:rsidP="000F0534">
      <w:pPr>
        <w:pStyle w:val="EndnoteText"/>
        <w:ind w:firstLine="720"/>
        <w:rPr>
          <w:rFonts w:ascii="Times New Roman" w:hAnsi="Times New Roman" w:cs="Times New Roman"/>
        </w:rPr>
      </w:pPr>
    </w:p>
  </w:endnote>
  <w:endnote w:id="51">
    <w:p w14:paraId="40AAD30F" w14:textId="7656678D" w:rsidR="00706789" w:rsidRPr="0097296D" w:rsidRDefault="00706789" w:rsidP="007D1644">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Yaakov </w:t>
      </w:r>
      <w:r w:rsidRPr="0097296D">
        <w:rPr>
          <w:rFonts w:ascii="Times New Roman" w:hAnsi="Times New Roman" w:cs="Times New Roman"/>
        </w:rPr>
        <w:t xml:space="preserve">Kareev, “Seven (Indeed, plus or Minus Two) and the Detection of Correlations.,” </w:t>
      </w:r>
      <w:r w:rsidRPr="0097296D">
        <w:rPr>
          <w:rFonts w:ascii="Times New Roman" w:hAnsi="Times New Roman" w:cs="Times New Roman"/>
          <w:i/>
          <w:iCs/>
        </w:rPr>
        <w:t>Psychological Review</w:t>
      </w:r>
      <w:r w:rsidRPr="0097296D">
        <w:rPr>
          <w:rFonts w:ascii="Times New Roman" w:hAnsi="Times New Roman" w:cs="Times New Roman"/>
        </w:rPr>
        <w:t xml:space="preserve"> 107, no. 2 (2000): 397–398.</w:t>
      </w:r>
    </w:p>
    <w:p w14:paraId="5A1D4226" w14:textId="77777777" w:rsidR="00706789" w:rsidRPr="0097296D" w:rsidRDefault="00706789">
      <w:pPr>
        <w:pStyle w:val="EndnoteText"/>
        <w:rPr>
          <w:rFonts w:ascii="Times New Roman" w:hAnsi="Times New Roman" w:cs="Times New Roman"/>
        </w:rPr>
      </w:pPr>
    </w:p>
  </w:endnote>
  <w:endnote w:id="52">
    <w:p w14:paraId="208F47DF" w14:textId="19AC4997" w:rsidR="00706789" w:rsidRPr="0097296D" w:rsidRDefault="00706789" w:rsidP="001C63D7">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Sonya C. </w:t>
      </w:r>
      <w:r w:rsidRPr="0097296D">
        <w:rPr>
          <w:rFonts w:ascii="Times New Roman" w:hAnsi="Times New Roman" w:cs="Times New Roman"/>
        </w:rPr>
        <w:t xml:space="preserve">Carr and Bruce Thompson, “The Effects of Prior Knowledge and Schema Activation Strategies on the Inferential Reading Comprehension of Children with and without Learning Disabilities,” </w:t>
      </w:r>
      <w:r w:rsidRPr="0097296D">
        <w:rPr>
          <w:rFonts w:ascii="Times New Roman" w:hAnsi="Times New Roman" w:cs="Times New Roman"/>
          <w:i/>
          <w:iCs/>
        </w:rPr>
        <w:t>Learning Disability Quarterly</w:t>
      </w:r>
      <w:r w:rsidRPr="0097296D">
        <w:rPr>
          <w:rFonts w:ascii="Times New Roman" w:hAnsi="Times New Roman" w:cs="Times New Roman"/>
        </w:rPr>
        <w:t xml:space="preserve"> 19, no. 1 (February 1, 1996): 48–50. </w:t>
      </w:r>
    </w:p>
    <w:p w14:paraId="01C72F50" w14:textId="77777777" w:rsidR="00706789" w:rsidRPr="0097296D" w:rsidRDefault="00706789">
      <w:pPr>
        <w:pStyle w:val="EndnoteText"/>
        <w:rPr>
          <w:rFonts w:ascii="Times New Roman" w:hAnsi="Times New Roman" w:cs="Times New Roman"/>
        </w:rPr>
      </w:pPr>
    </w:p>
  </w:endnote>
  <w:endnote w:id="53">
    <w:p w14:paraId="16AFF281" w14:textId="67D01585" w:rsidR="00706789" w:rsidRPr="0097296D" w:rsidRDefault="00706789" w:rsidP="004807F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{"citationID":"96d5y9ZT","properties":{"formattedCitation":"Michael Faggella-Luby et al., \\uc0\\u8220{}Learning Strategy Instruction for College Students with Disabilities: A Systematic Review of the Literature,\\uc0\\u8221{} {\\i{}Journal of Postsecondary Education and Disability} 32, no. 1 (January 1, 2019): 63\\uc0\\u8211{}81.","plainCitation":"Michael Faggella-Luby et al., “Learning Strategy Instruction for College Students with Disabilities: A Systematic Review of the Literature,” Journal of Postsecondary Education and Disability 32, no. 1 (January 1, 2019): 63–81.","noteIndex":47},"citationItems":[{"id":1911,"uris":["http://zotero.org/users/6986165/items/R7J7776I"],"uri":["http://zotero.org/users/6986165/items/R7J7776I"],"itemData":{"id":1911,"type":"article-journal","abstract":"The growing number of individuals with disabilities in higher education is a sign of significant progress toward improving outcomes and equity as intended by federal legislation. However, to successfully meet the demands of the postsecondary environment, students must act as self-regulated, independent learners. Thus, instruction for students with disabilities in learning strategies may be necessary to actualize improved outcomes. The current systematic review analyzes a subset of 21 empirical articles on learning strategy instruction in higher education for students with disabilities spanning 1955-2015 as organized by the PASS Taxonomy (Dukes, Madaus, Faggella-Luby, Lombardi, &amp; Gelbar, 2017). Results confirm there is a paucity of research, as we identified only 21 intervention studies examining learning strategies (11 single case and 10 group-design studies) in higher education during the period studied. Findings are presented related to characteristics of the study corpus, types of learning strategies emphasized, instructional delivery context, settings, interventionist, fidelity, measures, and outcomes. Special emphasis is placed on group design studies.","archive":"ERIC","archive_location":"Association on Higher Education and Disability. 107 Commerce Center Drive Suite 204, Huntersville, NC 28078. Tel: 704-947-7779; Fax: 704-948-7779; e-mail: ahead@ahead.org; Web site: http://www.ahead.org/publications/jped","container-title":"Journal of Postsecondary Education and Disability","ISSN":"2379-7762","issue":"1","journalAbbreviation":"Journal of Postsecondary Education and Disability","note":"publisher: Journal of Postsecondary Education and Disability","page":"63-81","source":"EBSCOhost","title":"Learning Strategy Instruction for College Students with Disabilities: A Systematic Review of the Literature","volume":"32","author":[{"family":"Faggella-Luby","given":"Michael"},{"family":"Gelbar","given":"Nicholas"},{"family":"Dukes","given":"Lyman","suffix":"III"},{"family":"Madaus","given":"Joseph"},{"family":"Lalor","given":"Adam"},{"family":"Lombardi","given":"Allison"}],"issued":{"date-parts":[["2019",1,1]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Michael Faggella-Luby et al., “Learning Strategy Instruction for College Students with Disabilities: A Systematic Review of the Literature,” </w:t>
      </w:r>
      <w:r w:rsidRPr="0097296D">
        <w:rPr>
          <w:rFonts w:ascii="Times New Roman" w:hAnsi="Times New Roman" w:cs="Times New Roman"/>
          <w:i/>
          <w:iCs/>
        </w:rPr>
        <w:t>Journal of Postsecondary Education and Disability</w:t>
      </w:r>
      <w:r w:rsidRPr="0097296D">
        <w:rPr>
          <w:rFonts w:ascii="Times New Roman" w:hAnsi="Times New Roman" w:cs="Times New Roman"/>
        </w:rPr>
        <w:t xml:space="preserve"> 32, no. 1 (January 1, 2019): 63–81.</w:t>
      </w:r>
      <w:r w:rsidRPr="0097296D">
        <w:rPr>
          <w:rFonts w:ascii="Times New Roman" w:hAnsi="Times New Roman" w:cs="Times New Roman"/>
        </w:rPr>
        <w:fldChar w:fldCharType="end"/>
      </w:r>
      <w:r w:rsidRPr="0097296D">
        <w:rPr>
          <w:rFonts w:ascii="Times New Roman" w:hAnsi="Times New Roman" w:cs="Times New Roman"/>
        </w:rPr>
        <w:t xml:space="preserve"> </w:t>
      </w:r>
    </w:p>
    <w:p w14:paraId="25413C0F" w14:textId="77777777" w:rsidR="00706789" w:rsidRPr="0097296D" w:rsidRDefault="00706789" w:rsidP="004807F2">
      <w:pPr>
        <w:pStyle w:val="EndnoteText"/>
        <w:ind w:firstLine="720"/>
        <w:rPr>
          <w:rFonts w:ascii="Times New Roman" w:hAnsi="Times New Roman" w:cs="Times New Roman"/>
        </w:rPr>
      </w:pPr>
    </w:p>
  </w:endnote>
  <w:endnote w:id="54">
    <w:p w14:paraId="60459AFA" w14:textId="07612BC0" w:rsidR="00706789" w:rsidRPr="0097296D" w:rsidRDefault="00706789" w:rsidP="005D372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{"citationID":"Lwjt68hG","properties":{"formattedCitation":"Carol T. Brown, \\uc0\\u8220{}EQUIPPING MINDS FOR CHRISTIAN EDUCATION: LEARNING FROM NEUROSCIENCE FOR CHRISTIAN EDUCATORS.,\\uc0\\u8221{} {\\i{}Christian Education Journal} 13, no. 1 (2016): 147\\uc0\\u8211{}168.","plainCitation":"Carol T. Brown, “EQUIPPING MINDS FOR CHRISTIAN EDUCATION: LEARNING FROM NEUROSCIENCE FOR CHRISTIAN EDUCATORS.,” Christian Education Journal 13, no. 1 (2016): 147–168.","noteIndex":48},"citationItems":[{"id":1840,"uris":["http://zotero.org/users/6986165/items/24C6XF7L"],"uri":["http://zotero.org/users/6986165/items/24C6XF7L"],"itemData":{"id":1840,"type":"article-journal","abstract":"The purpose of this article is to use the discoveries in neuroscience and the theories, programs, and research of Dr. Reuven Feuerstein to bring hope to parents, Christian educators, and interventionists of learners with neurodevelopmental learning disorders (NLD): autism spectrum disorders, attention-deficit hyperactivity disorder (ADHD), specific learning disorder, intellectual disability (Intellectual Developmental Disorder), communication disorders, and motor disorders. For sake of privacy, the name used in the case study is a pseudonym. [ABSTRACT FROM AUTHOR]","archive":"Supplemental Index","container-title":"Christian Education Journal","ISSN":"07398913","issue":"1","journalAbbreviation":"Christian Education Journal","page":"147-168","source":"EBSCOhost","title":"EQUIPPING MINDS FOR CHRISTIAN EDUCATION: LEARNING FROM NEUROSCIENCE FOR CHRISTIAN EDUCATORS.","volume":"13","author":[{"family":"Brown","given":"Carol T."}],"issued":{"date-parts":[["2016"]]}}}],"schema":"https://github.com/citation-style-language/schema/raw/master/csl-citation.json"}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Carol T. Brown, “E</w:t>
      </w:r>
      <w:r>
        <w:rPr>
          <w:rFonts w:ascii="Times New Roman" w:hAnsi="Times New Roman" w:cs="Times New Roman"/>
        </w:rPr>
        <w:t>quipping</w:t>
      </w:r>
      <w:r w:rsidRPr="0097296D">
        <w:rPr>
          <w:rFonts w:ascii="Times New Roman" w:hAnsi="Times New Roman" w:cs="Times New Roman"/>
        </w:rPr>
        <w:t xml:space="preserve"> M</w:t>
      </w:r>
      <w:r>
        <w:rPr>
          <w:rFonts w:ascii="Times New Roman" w:hAnsi="Times New Roman" w:cs="Times New Roman"/>
        </w:rPr>
        <w:t>inds</w:t>
      </w:r>
      <w:r w:rsidRPr="0097296D">
        <w:rPr>
          <w:rFonts w:ascii="Times New Roman" w:hAnsi="Times New Roman" w:cs="Times New Roman"/>
        </w:rPr>
        <w:t xml:space="preserve"> </w:t>
      </w:r>
      <w:r>
        <w:rPr>
          <w:rFonts w:ascii="Times New Roman" w:hAnsi="Times New Roman" w:cs="Times New Roman"/>
        </w:rPr>
        <w:t>for</w:t>
      </w:r>
      <w:r w:rsidRPr="0097296D">
        <w:rPr>
          <w:rFonts w:ascii="Times New Roman" w:hAnsi="Times New Roman" w:cs="Times New Roman"/>
        </w:rPr>
        <w:t xml:space="preserve"> C</w:t>
      </w:r>
      <w:r>
        <w:rPr>
          <w:rFonts w:ascii="Times New Roman" w:hAnsi="Times New Roman" w:cs="Times New Roman"/>
        </w:rPr>
        <w:t>hristian</w:t>
      </w:r>
      <w:r w:rsidRPr="0097296D">
        <w:rPr>
          <w:rFonts w:ascii="Times New Roman" w:hAnsi="Times New Roman" w:cs="Times New Roman"/>
        </w:rPr>
        <w:t xml:space="preserve"> E</w:t>
      </w:r>
      <w:r>
        <w:rPr>
          <w:rFonts w:ascii="Times New Roman" w:hAnsi="Times New Roman" w:cs="Times New Roman"/>
        </w:rPr>
        <w:t>ducation</w:t>
      </w:r>
      <w:r w:rsidRPr="0097296D">
        <w:rPr>
          <w:rFonts w:ascii="Times New Roman" w:hAnsi="Times New Roman" w:cs="Times New Roman"/>
        </w:rPr>
        <w:t>: L</w:t>
      </w:r>
      <w:r>
        <w:rPr>
          <w:rFonts w:ascii="Times New Roman" w:hAnsi="Times New Roman" w:cs="Times New Roman"/>
        </w:rPr>
        <w:t>earning from</w:t>
      </w:r>
      <w:r w:rsidRPr="0097296D">
        <w:rPr>
          <w:rFonts w:ascii="Times New Roman" w:hAnsi="Times New Roman" w:cs="Times New Roman"/>
        </w:rPr>
        <w:t xml:space="preserve"> N</w:t>
      </w:r>
      <w:r>
        <w:rPr>
          <w:rFonts w:ascii="Times New Roman" w:hAnsi="Times New Roman" w:cs="Times New Roman"/>
        </w:rPr>
        <w:t>euroscience</w:t>
      </w:r>
      <w:r w:rsidRPr="0097296D">
        <w:rPr>
          <w:rFonts w:ascii="Times New Roman" w:hAnsi="Times New Roman" w:cs="Times New Roman"/>
        </w:rPr>
        <w:t xml:space="preserve"> </w:t>
      </w:r>
      <w:r>
        <w:rPr>
          <w:rFonts w:ascii="Times New Roman" w:hAnsi="Times New Roman" w:cs="Times New Roman"/>
        </w:rPr>
        <w:t>for</w:t>
      </w:r>
      <w:r w:rsidRPr="0097296D">
        <w:rPr>
          <w:rFonts w:ascii="Times New Roman" w:hAnsi="Times New Roman" w:cs="Times New Roman"/>
        </w:rPr>
        <w:t xml:space="preserve"> C</w:t>
      </w:r>
      <w:r>
        <w:rPr>
          <w:rFonts w:ascii="Times New Roman" w:hAnsi="Times New Roman" w:cs="Times New Roman"/>
        </w:rPr>
        <w:t>hristian</w:t>
      </w:r>
      <w:r w:rsidRPr="0097296D">
        <w:rPr>
          <w:rFonts w:ascii="Times New Roman" w:hAnsi="Times New Roman" w:cs="Times New Roman"/>
        </w:rPr>
        <w:t xml:space="preserve"> E</w:t>
      </w:r>
      <w:r>
        <w:rPr>
          <w:rFonts w:ascii="Times New Roman" w:hAnsi="Times New Roman" w:cs="Times New Roman"/>
        </w:rPr>
        <w:t>ducators</w:t>
      </w:r>
      <w:r w:rsidRPr="0097296D">
        <w:rPr>
          <w:rFonts w:ascii="Times New Roman" w:hAnsi="Times New Roman" w:cs="Times New Roman"/>
        </w:rPr>
        <w:t xml:space="preserve">,” </w:t>
      </w:r>
      <w:r w:rsidRPr="0097296D">
        <w:rPr>
          <w:rFonts w:ascii="Times New Roman" w:hAnsi="Times New Roman" w:cs="Times New Roman"/>
          <w:i/>
          <w:iCs/>
        </w:rPr>
        <w:t>Christian Education Journal</w:t>
      </w:r>
      <w:r w:rsidRPr="0097296D">
        <w:rPr>
          <w:rFonts w:ascii="Times New Roman" w:hAnsi="Times New Roman" w:cs="Times New Roman"/>
        </w:rPr>
        <w:t xml:space="preserve"> 13, no. 1 (2016): 147–168.</w:t>
      </w:r>
      <w:r w:rsidRPr="0097296D">
        <w:rPr>
          <w:rFonts w:ascii="Times New Roman" w:hAnsi="Times New Roman" w:cs="Times New Roman"/>
        </w:rPr>
        <w:fldChar w:fldCharType="end"/>
      </w:r>
    </w:p>
    <w:p w14:paraId="317E5750" w14:textId="77777777" w:rsidR="00706789" w:rsidRPr="0097296D" w:rsidRDefault="00706789">
      <w:pPr>
        <w:pStyle w:val="EndnoteText"/>
        <w:rPr>
          <w:rFonts w:ascii="Times New Roman" w:hAnsi="Times New Roman" w:cs="Times New Roman"/>
        </w:rPr>
      </w:pPr>
    </w:p>
  </w:endnote>
  <w:endnote w:id="55">
    <w:p w14:paraId="7F5F40F0" w14:textId="77777777" w:rsidR="00706789" w:rsidRPr="0053292E" w:rsidRDefault="00706789" w:rsidP="0053292E">
      <w:pPr>
        <w:pStyle w:val="EndnoteText"/>
        <w:ind w:firstLine="720"/>
        <w:rPr>
          <w:rFonts w:ascii="Times New Roman" w:hAnsi="Times New Roman" w:cs="Times New Roman"/>
        </w:rPr>
      </w:pPr>
      <w:r w:rsidRPr="008A0A9E">
        <w:rPr>
          <w:rStyle w:val="EndnoteReference"/>
          <w:rFonts w:ascii="Times New Roman" w:hAnsi="Times New Roman" w:cs="Times New Roman"/>
        </w:rPr>
        <w:endnoteRef/>
      </w:r>
      <w:r w:rsidRPr="008A0A9E">
        <w:rPr>
          <w:rFonts w:ascii="Times New Roman" w:hAnsi="Times New Roman" w:cs="Times New Roman"/>
        </w:rPr>
        <w:t xml:space="preserve"> </w:t>
      </w:r>
      <w:r w:rsidRPr="0053292E">
        <w:rPr>
          <w:rFonts w:ascii="Times New Roman" w:hAnsi="Times New Roman" w:cs="Times New Roman"/>
        </w:rPr>
        <w:t xml:space="preserve">H. Lee Swanson and Linda Siegel, “Learning Disabilities </w:t>
      </w:r>
      <w:r w:rsidRPr="0053292E">
        <w:rPr>
          <w:rFonts w:ascii="Times New Roman" w:hAnsi="Times New Roman" w:cs="Times New Roman"/>
        </w:rPr>
        <w:t xml:space="preserve">As A Working Memory Deficit,” </w:t>
      </w:r>
      <w:r w:rsidRPr="0053292E">
        <w:rPr>
          <w:rFonts w:ascii="Times New Roman" w:hAnsi="Times New Roman" w:cs="Times New Roman"/>
          <w:i/>
          <w:iCs/>
        </w:rPr>
        <w:t>Issues in Education</w:t>
      </w:r>
      <w:r w:rsidRPr="0053292E">
        <w:rPr>
          <w:rFonts w:ascii="Times New Roman" w:hAnsi="Times New Roman" w:cs="Times New Roman"/>
        </w:rPr>
        <w:t xml:space="preserve"> 7, no. 1 (2001): 1–48.</w:t>
      </w:r>
    </w:p>
    <w:p w14:paraId="37A5AFFC" w14:textId="044B45B5" w:rsidR="00706789" w:rsidRDefault="00706789" w:rsidP="008A0A9E">
      <w:pPr>
        <w:pStyle w:val="EndnoteText"/>
        <w:ind w:firstLine="720"/>
      </w:pPr>
    </w:p>
  </w:endnote>
  <w:endnote w:id="56">
    <w:p w14:paraId="294E3210" w14:textId="4D0EDA8F" w:rsidR="00706789" w:rsidRPr="0097296D" w:rsidRDefault="00706789" w:rsidP="004807F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{"citationID":"5M1d3BEA","properties":{"formattedCitation":"Daniel P. Hallahan, Louis C. Danielson, and Renee Bradley, {\\i{}Identification of Learning Disabilities\\uc0\\u8239{}: Research to Practice.}, The LEA series on special education and disability (L. Erlbaum Publishers, 2002), http://aaron.swbts.edu/login?url=https://search.ebscohost.com/login.aspx?direct=true&amp;db=cat03589a&amp;AN=swbts.b1869234&amp;site=eds-live.","plainCitation":"Daniel P. Hallahan, Louis C. Danielson, and Renee Bradley, Identification of Learning Disabilities : Research to Practice., The LEA series on special education and disability (L. Erlbaum Publishers, 2002), http://aaron.swbts.edu/login?url=https://search.ebscohost.com/login.aspx?direct=true&amp;db=cat03589a&amp;AN=swbts.b1869234&amp;site=eds-live.","noteIndex":49},"citationItems":[{"id":1978,"uris":["http://zotero.org/users/6986165/items/XGL49HHT"],"uri":["http://zotero.org/users/6986165/items/XGL49HHT"],"itemData":{"id":1978,"type":"book","archive":"Southwestern Baptist Theological Seminary Catalog","archive_location":"SWBTS Internet","collection-title":"The LEA series on special education and disability","publisher":"L. Erlbaum Publishers","source":"EBSCOhost","title":"Identification of learning disabilities : research to practice.","URL":"http://aaron.swbts.edu/login?url=https://search.ebscohost.com/login.aspx?direct=true&amp;db=cat03589a&amp;AN=swbts.b1869234&amp;site=eds-live","author":[{"family":"Hallahan","given":"Daniel P."},{"family":"Danielson","given":"Louis C."},{"family":"Bradley","given":"Renee"}],"issued":{"date-parts":[["2002"]]}}}],"schema":"https://github.com/citation-style-language/schema/raw/master/csl-citation.json"}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Daniel P. Hallahan, Louis C. Danielson, and Renee Bradley, </w:t>
      </w:r>
      <w:r w:rsidRPr="0097296D">
        <w:rPr>
          <w:rFonts w:ascii="Times New Roman" w:hAnsi="Times New Roman" w:cs="Times New Roman"/>
          <w:i/>
          <w:iCs/>
        </w:rPr>
        <w:t>Identification of Learning Disabilities: Research to Practice.</w:t>
      </w:r>
      <w:r w:rsidRPr="0097296D">
        <w:rPr>
          <w:rFonts w:ascii="Times New Roman" w:hAnsi="Times New Roman" w:cs="Times New Roman"/>
        </w:rPr>
        <w:t>, LEA (L. Erlbaum Publishers, 2002)</w:t>
      </w:r>
      <w:r w:rsidR="00F449FF">
        <w:rPr>
          <w:rFonts w:ascii="Times New Roman" w:hAnsi="Times New Roman" w:cs="Times New Roman"/>
        </w:rPr>
        <w:t>:</w:t>
      </w:r>
      <w:r w:rsidR="00F449FF" w:rsidRPr="0097296D" w:rsidDel="00F449FF">
        <w:rPr>
          <w:rFonts w:ascii="Times New Roman" w:hAnsi="Times New Roman" w:cs="Times New Roman"/>
        </w:rPr>
        <w:t xml:space="preserve"> </w:t>
      </w:r>
      <w:r w:rsidRPr="0097296D">
        <w:rPr>
          <w:rFonts w:ascii="Times New Roman" w:hAnsi="Times New Roman" w:cs="Times New Roman"/>
        </w:rPr>
        <w:fldChar w:fldCharType="end"/>
      </w:r>
      <w:r w:rsidR="00561CAD" w:rsidRPr="00561CAD">
        <w:rPr>
          <w:rFonts w:ascii="Times New Roman" w:hAnsi="Times New Roman" w:cs="Times New Roman"/>
        </w:rPr>
        <w:t>570.</w:t>
      </w:r>
      <w:r w:rsidR="00F449FF" w:rsidRPr="0097296D" w:rsidDel="00FC2EFC">
        <w:rPr>
          <w:rFonts w:ascii="Times New Roman" w:hAnsi="Times New Roman" w:cs="Times New Roman"/>
        </w:rPr>
        <w:t xml:space="preserve"> </w:t>
      </w:r>
    </w:p>
    <w:p w14:paraId="2AC8E63C" w14:textId="77777777" w:rsidR="00706789" w:rsidRPr="0097296D" w:rsidRDefault="00706789" w:rsidP="004807F2">
      <w:pPr>
        <w:pStyle w:val="EndnoteText"/>
        <w:ind w:firstLine="720"/>
        <w:rPr>
          <w:rFonts w:ascii="Times New Roman" w:hAnsi="Times New Roman" w:cs="Times New Roman"/>
        </w:rPr>
      </w:pPr>
    </w:p>
  </w:endnote>
  <w:endnote w:id="57">
    <w:p w14:paraId="471A94FF" w14:textId="3F44E944" w:rsidR="00706789" w:rsidRPr="0097296D" w:rsidRDefault="00706789" w:rsidP="00133770">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{"citationID":"LfFmzEjW","properties":{"formattedCitation":"Tali Rosenberg\\uc0\\u8208{}Adler and Naomi Weintraub, \\uc0\\u8220{}Keyboarding Difficulties: Frequency and Characteristics among Higher Education Students with Handwriting Difficulties.,\\uc0\\u8221{} {\\i{}Learning Disabilities Research &amp; Practice (Wiley-Blackwell)} 35, no. 2 (May 2020): 82\\uc0\\u8211{}88.","plainCitation":"Tali Rosenberg‐Adler and Naomi Weintraub, “Keyboarding Difficulties: Frequency and Characteristics among Higher Education Students with Handwriting Difficulties.,” Learning Disabilities Research &amp; Practice (Wiley-Blackwell) 35, no. 2 (May 2020): 82–88.","noteIndex":50},"citationItems":[{"id":1917,"uris":["http://zotero.org/users/6986165/items/MLIKP6YK"],"uri":["http://zotero.org/users/6986165/items/MLIKP6YK"],"itemData":{"id":1917,"type":"article-journal","abstract":"Word processing is often considered an alternative writing mode or test accommodation for students with specific learning disorders who have handwriting difficulties (HD). Therefore, it is important for researchers and educators to understand the difficulties these students may encounter while using this technology. We examined the frequency of keyboarding difficulties (KD; i.e., slow keyboarding) among higher education students with HD, and the underlying functions (language, fine‐motor, and attention) of these disabilities compared to students with only HD. Of the 50 students with HD, 24 percent were found to have KD. This group had significantly lower scores in phonological and orthographic skills, but not in fine‐motor and attention functions, compared to students with HD alone. These results support models suggesting that handwriting and keyboarding share linguistic processes. They also suggest that for students with lower linguistic functions, word processing via keyboarding may not be an effective writing mode, and that these students may require tailored accommodation. [ABSTRACT FROM AUTHOR]","archive":"Psychology and Behavioral Sciences Collection","container-title":"Learning Disabilities Research &amp; Practice (Wiley-Blackwell)","ISSN":"09388982","issue":"2","journalAbbreviation":"Learning Disabilities Research &amp; Practice (Wiley-Blackwell)","note":"publisher: Wiley-Blackwell","page":"82-88","source":"EBSCOhost","title":"Keyboarding Difficulties: Frequency and Characteristics among Higher Education Students with Handwriting Difficulties.","volume":"35","author":[{"family":"Rosenberg‐Adler","given":"Tali"},{"family":"Weintraub","given":"Naomi"}],"issued":{"date-parts":[["2020",5]]}}}],"schema":"https://github.com/citation-style-language/schema/raw/master/csl-citation.json"}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Tali Rosenberg‐Adler</w:t>
      </w:r>
      <w:r w:rsidR="00F449FF">
        <w:rPr>
          <w:rFonts w:ascii="Times New Roman" w:hAnsi="Times New Roman" w:cs="Times New Roman"/>
        </w:rPr>
        <w:t xml:space="preserve"> </w:t>
      </w:r>
      <w:r w:rsidRPr="0097296D">
        <w:rPr>
          <w:rFonts w:ascii="Times New Roman" w:hAnsi="Times New Roman" w:cs="Times New Roman"/>
        </w:rPr>
        <w:t xml:space="preserve"> and Naomi Weintraub, “Keyboarding Difficulties: Frequency and Characteristics among Higher Education Students with Handwriting Difficulties.,” </w:t>
      </w:r>
      <w:r w:rsidRPr="0097296D">
        <w:rPr>
          <w:rFonts w:ascii="Times New Roman" w:hAnsi="Times New Roman" w:cs="Times New Roman"/>
          <w:i/>
          <w:iCs/>
        </w:rPr>
        <w:t>Learning Disabilities Research &amp; Practice</w:t>
      </w:r>
      <w:r>
        <w:rPr>
          <w:rFonts w:ascii="Times New Roman" w:hAnsi="Times New Roman" w:cs="Times New Roman"/>
          <w:i/>
          <w:iCs/>
        </w:rPr>
        <w:t xml:space="preserve"> </w:t>
      </w:r>
      <w:r w:rsidRPr="0097296D">
        <w:rPr>
          <w:rFonts w:ascii="Times New Roman" w:hAnsi="Times New Roman" w:cs="Times New Roman"/>
        </w:rPr>
        <w:t xml:space="preserve"> 35, no. 2 (May 2020): 82–88.</w:t>
      </w:r>
      <w:r w:rsidRPr="0097296D">
        <w:rPr>
          <w:rFonts w:ascii="Times New Roman" w:hAnsi="Times New Roman" w:cs="Times New Roman"/>
        </w:rPr>
        <w:fldChar w:fldCharType="end"/>
      </w:r>
      <w:r w:rsidRPr="0097296D">
        <w:rPr>
          <w:rFonts w:ascii="Times New Roman" w:hAnsi="Times New Roman" w:cs="Times New Roman"/>
        </w:rPr>
        <w:t xml:space="preserve"> </w:t>
      </w:r>
    </w:p>
    <w:p w14:paraId="7CB4795B" w14:textId="77777777" w:rsidR="00706789" w:rsidRPr="0097296D" w:rsidRDefault="00706789" w:rsidP="00133770">
      <w:pPr>
        <w:pStyle w:val="EndnoteText"/>
        <w:ind w:firstLine="720"/>
        <w:rPr>
          <w:rFonts w:ascii="Times New Roman" w:hAnsi="Times New Roman" w:cs="Times New Roman"/>
        </w:rPr>
      </w:pPr>
    </w:p>
  </w:endnote>
  <w:endnote w:id="58">
    <w:p w14:paraId="22DCF6DC" w14:textId="537DEE1D" w:rsidR="00706789" w:rsidRPr="0097296D" w:rsidRDefault="00706789" w:rsidP="00020337">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Office of Special Education and Rehabilitative Services, Department of Education.</w:t>
      </w:r>
      <w:r>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{"citationID":"r4zzDXfI","properties":{"formattedCitation":"\\uc0\\u8220{}Assistance to States for the Education of Children With Disabilities and Preschool Grants for Children With Disabilities; Final Rule\\uc0\\u8221{} (Office of Special Education and Rehabilitative Services, Department of Education., August 14, 2006).","plainCitation":"“Assistance to States for the Education of Children With Disabilities and Preschool Grants for Children With Disabilities; Final Rule” (Office of Special Education and Rehabilitative Services, Department of Education., August 14, 2006).","noteIndex":51},"citationItems":[{"id":2320,"uris":["http://zotero.org/users/6986165/items/24VUGTFB"],"uri":["http://zotero.org/users/6986165/items/24VUGTFB"],"itemData":{"id":2320,"type":"article","publisher":"Office of Special Education and Rehabilitative Services, Department of Education.","title":"Assistance to States for the Education of Children With Disabilities and Preschool Grants for Children With Disabilities; Final Rule","issued":{"date-parts":[["2006",8,14]]}}}],"schema":"https://github.com/citation-style-language/schema/raw/master/csl-citation.json"}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“Assistance to States for the Education of Children With Disabilities and Preschool Grants for Children With Disabilities; Final Rule” (Office of Special Education and Rehabilitative Services, Department of Education., August 14, 2006).</w:t>
      </w:r>
      <w:r w:rsidRPr="0097296D">
        <w:rPr>
          <w:rFonts w:ascii="Times New Roman" w:hAnsi="Times New Roman" w:cs="Times New Roman"/>
        </w:rPr>
        <w:fldChar w:fldCharType="end"/>
      </w:r>
      <w:r w:rsidRPr="0097296D">
        <w:rPr>
          <w:rFonts w:ascii="Times New Roman" w:hAnsi="Times New Roman" w:cs="Times New Roman"/>
        </w:rPr>
        <w:t xml:space="preserve"> 46548-46551.</w:t>
      </w:r>
    </w:p>
    <w:p w14:paraId="0B0FD4E8" w14:textId="77777777" w:rsidR="00706789" w:rsidRPr="0097296D" w:rsidRDefault="00706789" w:rsidP="00020337">
      <w:pPr>
        <w:pStyle w:val="EndnoteText"/>
        <w:ind w:firstLine="720"/>
        <w:rPr>
          <w:rFonts w:ascii="Times New Roman" w:hAnsi="Times New Roman" w:cs="Times New Roman"/>
        </w:rPr>
      </w:pPr>
    </w:p>
  </w:endnote>
  <w:endnote w:id="59">
    <w:p w14:paraId="7E3D7C48" w14:textId="59197246" w:rsidR="00706789" w:rsidRPr="0097296D" w:rsidRDefault="00706789" w:rsidP="00020337">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See Table </w:t>
      </w:r>
      <w:r w:rsidR="00F449FF">
        <w:rPr>
          <w:rFonts w:ascii="Times New Roman" w:hAnsi="Times New Roman" w:cs="Times New Roman"/>
        </w:rPr>
        <w:t>1</w:t>
      </w:r>
      <w:r w:rsidRPr="0097296D">
        <w:rPr>
          <w:rFonts w:ascii="Times New Roman" w:hAnsi="Times New Roman" w:cs="Times New Roman"/>
        </w:rPr>
        <w:t xml:space="preserve"> for a more detailed explanation of the specific learning disabilities category of the IDEA legislation. </w:t>
      </w:r>
    </w:p>
    <w:p w14:paraId="104EA6CF" w14:textId="77777777" w:rsidR="00706789" w:rsidRPr="0097296D" w:rsidRDefault="00706789" w:rsidP="00020337">
      <w:pPr>
        <w:pStyle w:val="EndnoteText"/>
        <w:ind w:firstLine="720"/>
        <w:rPr>
          <w:rFonts w:ascii="Times New Roman" w:hAnsi="Times New Roman" w:cs="Times New Roman"/>
        </w:rPr>
      </w:pPr>
    </w:p>
  </w:endnote>
  <w:endnote w:id="60">
    <w:p w14:paraId="02FD9A79" w14:textId="28A19E35" w:rsidR="00706789" w:rsidRPr="0097296D" w:rsidRDefault="00706789" w:rsidP="004807F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{"citationID":"13FUI44X","properties":{"formattedCitation":"\\uc0\\u8220{}The Difference between IEPs and 504 Plans,\\uc0\\u8221{} accessed May 22, 2021, https://www.understood.org/en/school-learning/special-services/504-plan/the-difference-between-ieps-and-504-plans.","plainCitation":"“The Difference between IEPs and 504 Plans,” accessed May 22, 2021, https://www.understood.org/en/school-learning/special-services/504-plan/the-difference-between-ieps-and-504-plans.","noteIndex":53},"citationItems":[{"id":2119,"uris":["http://zotero.org/users/6986165/items/KCE5N9QW"],"uri":["http://zotero.org/users/6986165/items/KCE5N9QW"],"itemData":{"id":2119,"type":"webpage","abstract":"Individualized Education Programs (IEPs) and 504 plans are similar but different. See how they compare in what they provide and the processes and laws involved.","language":"en","title":"The difference between IEPs and 504 plans","URL":"https://www.understood.org/en/school-learning/special-services/504-plan/the-difference-between-ieps-and-504-plans","accessed":{"date-parts":[["2021",5,22]]}}}],"schema":"https://github.com/citation-style-language/schema/raw/master/csl-citation.json"}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“The Difference between IEPs and 504 Plans,” accessed May 22, 2021, https://www.understood.org/en/school-learning/special-services/504-plan/the-difference-between-ieps-and-504-plans.</w:t>
      </w:r>
      <w:r w:rsidRPr="0097296D">
        <w:rPr>
          <w:rFonts w:ascii="Times New Roman" w:hAnsi="Times New Roman" w:cs="Times New Roman"/>
        </w:rPr>
        <w:fldChar w:fldCharType="end"/>
      </w:r>
      <w:r w:rsidRPr="0097296D">
        <w:rPr>
          <w:rFonts w:ascii="Times New Roman" w:hAnsi="Times New Roman" w:cs="Times New Roman"/>
        </w:rPr>
        <w:t xml:space="preserve"> </w:t>
      </w:r>
    </w:p>
    <w:p w14:paraId="559B356E" w14:textId="77777777" w:rsidR="00706789" w:rsidRPr="0097296D" w:rsidRDefault="00706789" w:rsidP="004807F2">
      <w:pPr>
        <w:pStyle w:val="EndnoteText"/>
        <w:ind w:firstLine="720"/>
        <w:rPr>
          <w:rFonts w:ascii="Times New Roman" w:hAnsi="Times New Roman" w:cs="Times New Roman"/>
        </w:rPr>
      </w:pPr>
    </w:p>
  </w:endnote>
  <w:endnote w:id="61">
    <w:p w14:paraId="3E06A252" w14:textId="5B3F2DCB" w:rsidR="00706789" w:rsidRPr="0097296D" w:rsidRDefault="00706789" w:rsidP="00E96DC6">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{"citationID":"IpCyNPs2","properties":{"formattedCitation":"\\uc0\\u8220{}Assistance to States for the Education of Children With Disabilities and Preschool Grants for Children With Disabilities; Final Rule.\\uc0\\u8221{}","plainCitation":"“Assistance to States for the Education of Children With Disabilities and Preschool Grants for Children With Disabilities; Final Rule.”","noteIndex":54},"citationItems":[{"id":2320,"uris":["http://zotero.org/users/6986165/items/24VUGTFB"],"uri":["http://zotero.org/users/6986165/items/24VUGTFB"],"itemData":{"id":2320,"type":"article","publisher":"Office of Special Education and Rehabilitative Services, Department of Education.","title":"Assistance to States for the Education of Children With Disabilities and Preschool Grants for Children With Disabilities; Final Rule","issued":{"date-parts":[["2006",8,14]]}}}],"schema":"https://github.com/citation-style-language/schema/raw/master/csl-citation.json"}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“Assistance to States for the Education of Children With Disabilities and Preschool Grants for Children With Disabilities; Final Rule.”</w:t>
      </w:r>
      <w:r w:rsidRPr="0097296D">
        <w:rPr>
          <w:rFonts w:ascii="Times New Roman" w:hAnsi="Times New Roman" w:cs="Times New Roman"/>
        </w:rPr>
        <w:fldChar w:fldCharType="end"/>
      </w:r>
      <w:r w:rsidRPr="0097296D">
        <w:rPr>
          <w:rFonts w:ascii="Times New Roman" w:hAnsi="Times New Roman" w:cs="Times New Roman"/>
        </w:rPr>
        <w:t xml:space="preserve"> 46570</w:t>
      </w:r>
      <w:r w:rsidR="00F449FF">
        <w:rPr>
          <w:rFonts w:ascii="Times New Roman" w:hAnsi="Times New Roman" w:cs="Times New Roman"/>
        </w:rPr>
        <w:t>;</w:t>
      </w:r>
      <w:r w:rsidRPr="0097296D">
        <w:rPr>
          <w:rFonts w:ascii="Times New Roman" w:hAnsi="Times New Roman" w:cs="Times New Roman"/>
        </w:rPr>
        <w:t xml:space="preserve"> 46692. </w:t>
      </w:r>
    </w:p>
    <w:p w14:paraId="77FA9F93" w14:textId="77777777" w:rsidR="00706789" w:rsidRPr="0097296D" w:rsidRDefault="00706789">
      <w:pPr>
        <w:pStyle w:val="EndnoteText"/>
        <w:rPr>
          <w:rFonts w:ascii="Times New Roman" w:hAnsi="Times New Roman" w:cs="Times New Roman"/>
        </w:rPr>
      </w:pPr>
    </w:p>
  </w:endnote>
  <w:endnote w:id="62">
    <w:p w14:paraId="7323DACC" w14:textId="026E2827" w:rsidR="00706789" w:rsidRPr="0097296D" w:rsidRDefault="00706789" w:rsidP="00F65FDE">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For more information on the transition process</w:t>
      </w:r>
      <w:r>
        <w:rPr>
          <w:rFonts w:ascii="Times New Roman" w:hAnsi="Times New Roman" w:cs="Times New Roman"/>
        </w:rPr>
        <w:t xml:space="preserve"> and how higher education has implemented IEP and 504 plans</w:t>
      </w:r>
      <w:r w:rsidRPr="0097296D">
        <w:rPr>
          <w:rFonts w:ascii="Times New Roman" w:hAnsi="Times New Roman" w:cs="Times New Roman"/>
        </w:rPr>
        <w:t xml:space="preserve">, see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{"citationID":"WBP5rhw6","properties":{"formattedCitation":"Joseph W. Madaus, \\uc0\\u8220{}Navigating the College Transition Maze: A Guide for Students With Learning Disabilities.,\\uc0\\u8221{} {\\i{}Teaching Exceptional Children} 37, no. 3 (February 1, 2005): 32\\uc0\\u8211{}37; WANDA HADLEY, \\uc0\\u8220{}STUDENTS WITH LEARNING DISABILITIES TRANSITIONING FROM COLLEGE: A ONE-YEAR STUDY.,\\uc0\\u8221{} {\\i{}College Student Journal} 52, no. 4 (2018): 421\\uc0\\u8211{}430; Mary E. Morningstar and Andrew Shoemaker, \\uc0\\u8220{}Options and Skills Necessary for Navigating a Successful Transition to Postsecondary Education.,\\uc0\\u8221{} {\\i{}New Directions for Adult &amp; Continuing Education} 2018, no. 160 (2018): 39\\uc0\\u8211{}51; Steve Eugene Eddy, \\uc0\\u8220{}A Survey Study of College Students with Disabilities and Their Involvement in the IEP/Transition Planning Process,\\uc0\\u8221{} {\\i{}ProQuest Dissertations and Theses} (Ph.D., The University of North Carolina at Charlotte, 2010), http://aaron.swbts.edu/login?url=https://www.proquest.com/dissertations-theses/survey-study-college-students-with-disabilities/docview/790157142/se-2?accountid=7073.","plainCitation":"Joseph W. Madaus, “Navigating the College Transition Maze: A Guide for Students With Learning Disabilities.,” Teaching Exceptional Children 37, no. 3 (February 1, 2005): 32–37; WANDA HADLEY, “STUDENTS WITH LEARNING DISABILITIES TRANSITIONING FROM COLLEGE: A ONE-YEAR STUDY.,” College Student Journal 52, no. 4 (2018): 421–430; Mary E. Morningstar and Andrew Shoemaker, “Options and Skills Necessary for Navigating a Successful Transition to Postsecondary Education.,” New Directions for Adult &amp; Continuing Education 2018, no. 160 (2018): 39–51; Steve Eugene Eddy, “A Survey Study of College Students with Disabilities and Their Involvement in the IEP/Transition Planning Process,” ProQuest Dissertations and Theses (Ph.D., The University of North Carolina at Charlotte, 2010), http://aaron.swbts.edu/login?url=https://www.proquest.com/dissertations-theses/survey-study-college-students-with-disabilities/docview/790157142/se-2?accountid=7073.","noteIndex":55},"citationItems":[{"id":1887,"uris":["http://zotero.org/users/6986165/items/Y8GRJ9F9"],"uri":["http://zotero.org/users/6986165/items/Y8GRJ9F9"],"itemData":{"id":1887,"type":"article-journal","abstract":"Presents a guide for students with learning disabilities making the college transition. Challenges students face when transitioning to college; Move from the familiar model of special education services at the high school level to very different services at the college level; Changes in the scope of special education services for college students; Questions and misconceptions about postsecondary disability services; Basic support services provided by most special higher education institutions.","archive":"Academic Search Complete","container-title":"Teaching Exceptional Children","ISSN":"00400599","issue":"3","journalAbbreviation":"Teaching Exceptional Children","note":"publisher: Sage Publications Inc.","page":"32-37","source":"EBSCOhost","title":"Navigating the College Transition Maze: A Guide for Students With Learning Disabilities.","volume":"37","author":[{"family":"Madaus","given":"Joseph W."}],"issued":{"date-parts":[["2005",2,1]]}}},{"id":1889,"uris":["http://zotero.org/users/6986165/items/XVL9L8SM"],"uri":["http://zotero.org/users/6986165/items/XVL9L8SM"],"itemData":{"id":1889,"type":"article-journal","abstract":"Students with learning disabilities (LD) transitioning to colleges and universities continues to rise. This research is from the shared experiences of 10 students with learning disabilities during their junior and senior years as they prepared to graduate and transition from college. Over the course of an academic year, students shared stories of their academic adjustments in the college environment through the lens of student development theory by participating in focus group and semi-structured individual interviews. Hadley's (2009) updated version of Chickering and Reisser's (1993) and Chickering's (1969) stages of developing purpose and establishing integrity that focuses on the experiences of students with learning disabilities provides the perspective of the students' reported experiences and views. Developing purpose assess how the student conceptualizes and prioritizes their career goals. Establishing integrity examines how the student's beliefs and values guide their career plans and goals (Hadley. 2009: Chickering &amp; Reisser. 1993; and Chickering. 1969). [ABSTRACT FROM AUTHOR]","archive":"Academic Search Complete","container-title":"College Student Journal","ISSN":"01463934","issue":"4","journalAbbreviation":"College Student Journal","note":"publisher: Project Innovation, Inc.","page":"421-430","source":"EBSCOhost","title":"STUDENTS WITH LEARNING DISABILITIES TRANSITIONING FROM COLLEGE: A ONE-YEAR STUDY.","volume":"52","author":[{"family":"HADLEY","given":"WANDA"}],"issued":{"date-parts":[["2018"]]}}},{"id":1903,"uris":["http://zotero.org/users/6986165/items/L8AJVC99"],"uri":["http://zotero.org/users/6986165/items/L8AJVC99"],"itemData":{"id":1903,"type":"article-journal","abstract":"This chapter describes several essential skills necessary for success in postsecondary education (PSE) for young adults with disabilities and provides a variety of models of support available to students with disabilities as they transition into PSE. [ABSTRACT FROM AUTHOR]","archive":"Academic Search Complete","container-title":"New Directions for Adult &amp; Continuing Education","ISSN":"10522891","issue":"160","journalAbbreviation":"New Directions for Adult &amp; Continuing Education","note":"publisher: John Wiley &amp; Sons, Inc.","page":"39-51","source":"EBSCOhost","title":"Options and Skills Necessary for Navigating a Successful Transition to Postsecondary Education.","volume":"2018","author":[{"family":"Morningstar","given":"Mary E."},{"family":"Shoemaker","given":"Andrew"}],"issued":{"date-parts":[["2018"]]}}},{"id":2079,"uris":["http://zotero.org/users/6986165/items/MKBFWMAC"],"uri":["http://zotero.org/users/6986165/items/MKBFWMAC"],"itemData":{"id":2079,"type":"thesis","abstract":"Educating students with disabilities gained national attention in 1975 with the passage of Public Law 94-142 the Education of All Handicapped Children Act. This law provided students with disabilities with equal access to the same free and appropriate education as students without disabilities, and mandated that schools provide students with disabilities with an individualized education program (IEP) to meet their academic goals. Beginning in the 1980's, researchers and policymakers (Halpern, 1985; Will, 1984) became concerned that students with disabilities were not making a successful transition to higher education or to adulthood. One post-school outcome where there has been a continuing discrepancy between students with and students without disabilities has been graduation rates from postsecondary educational settings (i.e., colleges and universities).    Researchers have noted that self-determination skills are important for students to succeed in college (Brinckerhoff, 1993; Stodden, 2000). Ward (1988) indicated that people with disabilities should have the opportunity to make life decisions for themselves. With the reauthorization of PL 94-142 as the Individuals with Disabilities Education Act (IDEA) in 1990, educators and policymakers began to examine ways for students to participate in planning for their transitions from school to adult life. Because of the increased focus on transition and self-determination, researchers focused on how to get students more involved in their IEP/transition planning.    With the convergence of attention on transition, self-determination, and post-school outcomes, including postsecondary education outcomes, a question emerges as to what degree students with disabilities who transition to college or university settings after high school demonstrate self-determination skills in postsecondary education settings? Do students who are taught self-determination skills in high school generalize those skills to postsecondary education settings? A primary approach to promoting self-determination skills is through teaching students to participate in their IEP/transition planning in high school (Test, Mason, Hughes, Konrad, Neale, &amp;amp; Wood, 2004), but there has been limited research on the relationship between participating in IEP/transition planning and self-determination in college. Therefore, the purposes of this study were to determine (a) how undergraduate college students with disabilities learned self-determination skills, (b) whether they reported themselves to be self-determined in college, and (c) whether a relationship exists between students participating in IEP/transition planning in high school and their self-reporting of being self-determined in their postsecondary education settings.    Results suggested that participating in IEP/transition planning does have a positive relationship with the perceived self-determination of college students with disabilities. This means students reported that participating in IEP/transition planning helped them be self-determined in college. Results suggested a continuing need to encourage students to participate in their IEP/transition planning. Ideas for future research and implications for practice regarding self-determination in both high school and college are discussed.","archive":"ProQuest Dissertations &amp; Theses Global: The Humanities and Social Sciences Collection","archive_location":"790157142","event-place":"Ann Arbor","genre":"Ph.D.","language":"English","note":"ISBN: 978-1-124-29923-5\ncontainer-title: ProQuest Dissertations and Theses\n3430486","number-of-pages":"168","publisher":"The University of North Carolina at Charlotte","publisher-place":"Ann Arbor","title":"A survey study of college students with disabilities and their involvement in the IEP/transition planning process","URL":"http://aaron.swbts.edu/login?url=https://www.proquest.com/dissertations-theses/survey-study-college-students-with-disabilities/docview/790157142/se-2?accountid=7073","author":[{"family":"Eddy","given":"Steve Eugene"}],"issued":{"date-parts":[["2010"]]}}}],"schema":"https://github.com/citation-style-language/schema/raw/master/csl-citation.json"}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Joseph W. Madaus, “Navigating the College Transition Maze: A Guide for Students With Learning Disabilities.,” </w:t>
      </w:r>
      <w:r w:rsidRPr="0097296D">
        <w:rPr>
          <w:rFonts w:ascii="Times New Roman" w:hAnsi="Times New Roman" w:cs="Times New Roman"/>
          <w:i/>
          <w:iCs/>
        </w:rPr>
        <w:t>Teaching Exceptional Children</w:t>
      </w:r>
      <w:r w:rsidRPr="0097296D">
        <w:rPr>
          <w:rFonts w:ascii="Times New Roman" w:hAnsi="Times New Roman" w:cs="Times New Roman"/>
        </w:rPr>
        <w:t xml:space="preserve"> 37, no. 3 (February 1, 2005): 32–37; WANDA HADLEY, “STUDENTS WITH LEARNING DISABILITIES TRANSITIONING FROM COLLEGE: A ONE-YEAR STUDY.,” </w:t>
      </w:r>
      <w:r w:rsidRPr="0097296D">
        <w:rPr>
          <w:rFonts w:ascii="Times New Roman" w:hAnsi="Times New Roman" w:cs="Times New Roman"/>
          <w:i/>
          <w:iCs/>
        </w:rPr>
        <w:t>College Student Journal</w:t>
      </w:r>
      <w:r w:rsidRPr="0097296D">
        <w:rPr>
          <w:rFonts w:ascii="Times New Roman" w:hAnsi="Times New Roman" w:cs="Times New Roman"/>
        </w:rPr>
        <w:t xml:space="preserve"> 52, no. 4 (2018): 421–430; Mary E. Morningstar and Andrew Shoemaker, “Options and Skills Necessary for Navigating a Successful Transition to Postsecondary Education.,” </w:t>
      </w:r>
      <w:r w:rsidRPr="0097296D">
        <w:rPr>
          <w:rFonts w:ascii="Times New Roman" w:hAnsi="Times New Roman" w:cs="Times New Roman"/>
          <w:i/>
          <w:iCs/>
        </w:rPr>
        <w:t>New Directions for Adult &amp; Continuing Education</w:t>
      </w:r>
      <w:r w:rsidRPr="0097296D">
        <w:rPr>
          <w:rFonts w:ascii="Times New Roman" w:hAnsi="Times New Roman" w:cs="Times New Roman"/>
        </w:rPr>
        <w:t xml:space="preserve"> 2018, no. 160 (2018): 39–51; Steve Eugene Eddy, “A Survey Study of College Students with Disabilities and Their Involvement in the IEP/Transition Planning Process,” </w:t>
      </w:r>
      <w:r w:rsidRPr="0097296D">
        <w:rPr>
          <w:rFonts w:ascii="Times New Roman" w:hAnsi="Times New Roman" w:cs="Times New Roman"/>
          <w:i/>
          <w:iCs/>
        </w:rPr>
        <w:t>ProQuest Dissertations and Theses</w:t>
      </w:r>
      <w:r w:rsidRPr="0097296D">
        <w:rPr>
          <w:rFonts w:ascii="Times New Roman" w:hAnsi="Times New Roman" w:cs="Times New Roman"/>
        </w:rPr>
        <w:t xml:space="preserve"> (Ph.D., The University of North Carolina at Charlotte, 2010).</w:t>
      </w:r>
      <w:r w:rsidRPr="0097296D">
        <w:rPr>
          <w:rFonts w:ascii="Times New Roman" w:hAnsi="Times New Roman" w:cs="Times New Roman"/>
        </w:rPr>
        <w:fldChar w:fldCharType="end"/>
      </w:r>
      <w:r w:rsidRPr="0097296D">
        <w:rPr>
          <w:rFonts w:ascii="Times New Roman" w:hAnsi="Times New Roman" w:cs="Times New Roman"/>
        </w:rPr>
        <w:t xml:space="preserve"> </w:t>
      </w:r>
    </w:p>
    <w:p w14:paraId="465A02AE" w14:textId="77777777" w:rsidR="00706789" w:rsidRPr="0097296D" w:rsidRDefault="00706789" w:rsidP="00F65FDE">
      <w:pPr>
        <w:pStyle w:val="EndnoteText"/>
        <w:ind w:firstLine="720"/>
        <w:rPr>
          <w:rFonts w:ascii="Times New Roman" w:hAnsi="Times New Roman" w:cs="Times New Roman"/>
        </w:rPr>
      </w:pPr>
    </w:p>
  </w:endnote>
  <w:endnote w:id="63">
    <w:p w14:paraId="5A0A0211" w14:textId="2A0661D9" w:rsidR="00706789" w:rsidRPr="0097296D" w:rsidRDefault="00706789" w:rsidP="004807F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Interview of Dr. Michael Wilder, dean of the Terry School of Educational Ministries at SWBTS. April 8, 2021. </w:t>
      </w:r>
    </w:p>
    <w:p w14:paraId="050DB146" w14:textId="77777777" w:rsidR="00706789" w:rsidRPr="0097296D" w:rsidRDefault="00706789" w:rsidP="004807F2">
      <w:pPr>
        <w:pStyle w:val="EndnoteText"/>
        <w:ind w:firstLine="720"/>
        <w:rPr>
          <w:rFonts w:ascii="Times New Roman" w:hAnsi="Times New Roman" w:cs="Times New Roman"/>
        </w:rPr>
      </w:pPr>
    </w:p>
  </w:endnote>
  <w:endnote w:id="64">
    <w:p w14:paraId="2E8FDFDA" w14:textId="2CA213EB" w:rsidR="00706789" w:rsidRPr="0097296D" w:rsidRDefault="00706789" w:rsidP="004807F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{"citationID":"YNeiQhMj","properties":{"formattedCitation":"Ain, {\\i{}Higher Education for Individuals with Disabilities}.","plainCitation":"Ain, Higher Education for Individuals with Disabilities.","noteIndex":57},"citationItems":[{"id":1859,"uris":["http://zotero.org/users/6986165/items/PUJ6U2CH"],"uri":["http://zotero.org/users/6986165/items/PUJ6U2CH"],"itemData":{"id":1859,"type":"report","abstract":"In the past, universities did not offer equal opportunities for students with disabilities. Therefore, the principle of transitioning to higher education for students with disabilities was inscribed in legislation. This paper analyzes some legal provisions governing students with disabilities. The present study is essential for recognizing the rights of post-secondary students living with disabilities. Studying the legal provisions concerning the treatment of these learners is critical for ensuring that these provisions receive emphasis and support. Thus, this paper contributes substantially to ensuring that students with disabilities can access post-secondary education and prosper in life. The paper focuses on the possible legislation and special barriers that impede access to quality higher education for people with disabilities. Each topic is treated under the banner of policymakers. The paper examines federal laws aimed at addressing the issue of equality, especially for marginalized students with disabilities, and the options and requirements for ensuring the implementation of better systems that respect students with disabilities. The paper also concentrates on potential amendments to laws that will create more opportunities for students with disabilities. Moreover, it discusses the present accommodations, if any, to facilitate these students' smooth transition to higher education and employment. With this, it highlights special barriers that students face while undergoing their transitions and to existing program articles to make it easy for students with disabilities to access and success in higher education. The paper also touches on student financial aid, provisions for housing, and the use of assistive technology in higher education.","archive":"ERIC","note":"journalAbbreviation: Online Submission\ncontainer-title: Online Submission","publisher":"Online Submission","source":"EBSCOhost","title":"Higher Education for Individuals with Disabilities","URL":"http://aaron.swbts.edu/login?url=https://search.ebscohost.com/login.aspx?direct=true&amp;db=eric&amp;AN=ED593346&amp;site=eds-live","author":[{"family":"Ain","given":"Ganiah I."}],"issued":{"date-parts":[["2016",10,20]]}}}],"schema":"https://github.com/citation-style-language/schema/raw/master/csl-citation.json"}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Ain, </w:t>
      </w:r>
      <w:r w:rsidRPr="0097296D">
        <w:rPr>
          <w:rFonts w:ascii="Times New Roman" w:hAnsi="Times New Roman" w:cs="Times New Roman"/>
          <w:i/>
          <w:iCs/>
        </w:rPr>
        <w:t>Higher Education for Individuals with Disabilities</w:t>
      </w:r>
      <w:r w:rsidRPr="0097296D">
        <w:rPr>
          <w:rFonts w:ascii="Times New Roman" w:hAnsi="Times New Roman" w:cs="Times New Roman"/>
        </w:rPr>
        <w:t>.</w:t>
      </w:r>
      <w:r w:rsidRPr="0097296D">
        <w:rPr>
          <w:rFonts w:ascii="Times New Roman" w:hAnsi="Times New Roman" w:cs="Times New Roman"/>
        </w:rPr>
        <w:fldChar w:fldCharType="end"/>
      </w:r>
      <w:r w:rsidRPr="0097296D">
        <w:rPr>
          <w:rFonts w:ascii="Times New Roman" w:hAnsi="Times New Roman" w:cs="Times New Roman"/>
        </w:rPr>
        <w:t xml:space="preserve"> </w:t>
      </w:r>
    </w:p>
    <w:p w14:paraId="0687DAB0" w14:textId="77777777" w:rsidR="00706789" w:rsidRPr="0097296D" w:rsidRDefault="00706789" w:rsidP="004807F2">
      <w:pPr>
        <w:pStyle w:val="EndnoteText"/>
        <w:ind w:firstLine="720"/>
        <w:rPr>
          <w:rFonts w:ascii="Times New Roman" w:hAnsi="Times New Roman" w:cs="Times New Roman"/>
        </w:rPr>
      </w:pPr>
    </w:p>
  </w:endnote>
  <w:endnote w:id="65">
    <w:p w14:paraId="3E0CCE43" w14:textId="7726EB94" w:rsidR="00706789" w:rsidRPr="0097296D" w:rsidRDefault="00706789" w:rsidP="004807F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Wanda Hadley, “Students with Learning Disabilities Transitioning from College: A One-Year Study,”</w:t>
      </w:r>
      <w:r w:rsidRPr="0097296D">
        <w:rPr>
          <w:rFonts w:ascii="Times New Roman" w:hAnsi="Times New Roman" w:cs="Times New Roman"/>
          <w:b/>
          <w:bCs/>
        </w:rPr>
        <w:t xml:space="preserve"> </w:t>
      </w:r>
      <w:r w:rsidRPr="0097296D">
        <w:rPr>
          <w:rFonts w:ascii="Times New Roman" w:hAnsi="Times New Roman" w:cs="Times New Roman"/>
          <w:i/>
          <w:iCs/>
          <w:color w:val="000000" w:themeColor="text1"/>
        </w:rPr>
        <w:t xml:space="preserve">College Student Journal </w:t>
      </w:r>
      <w:r w:rsidRPr="0097296D">
        <w:rPr>
          <w:rFonts w:ascii="Times New Roman" w:hAnsi="Times New Roman" w:cs="Times New Roman"/>
        </w:rPr>
        <w:t>52, No. 4, (Winter 2018): pp. 421-430</w:t>
      </w:r>
      <w:r>
        <w:rPr>
          <w:rFonts w:ascii="Times New Roman" w:hAnsi="Times New Roman" w:cs="Times New Roman"/>
        </w:rPr>
        <w:t>.</w:t>
      </w:r>
    </w:p>
    <w:p w14:paraId="5A4C27B1" w14:textId="77777777" w:rsidR="00706789" w:rsidRPr="0097296D" w:rsidRDefault="00706789" w:rsidP="004807F2">
      <w:pPr>
        <w:pStyle w:val="EndnoteText"/>
        <w:ind w:firstLine="720"/>
        <w:rPr>
          <w:rFonts w:ascii="Times New Roman" w:hAnsi="Times New Roman" w:cs="Times New Roman"/>
        </w:rPr>
      </w:pPr>
    </w:p>
  </w:endnote>
  <w:endnote w:id="66">
    <w:p w14:paraId="66DB1A21" w14:textId="2C4911FF" w:rsidR="00706789" w:rsidRPr="0097296D" w:rsidRDefault="00706789" w:rsidP="004807F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{"citationID":"GgyqP5Wc","properties":{"formattedCitation":"Debra G. Holzberg, David W. Test, and Dana E. Rusher, \\uc0\\u8220{}Self-Advocacy Instruction to Teach High School Seniors with Mild Disabilities to Access Accommodations in College,\\uc0\\u8221{} {\\i{}Remedial and Special Education} 40, no. 3 (June 1, 2019): 166\\uc0\\u8211{}176.","plainCitation":"Debra G. Holzberg, David W. Test, and Dana E. Rusher, “Self-Advocacy Instruction to Teach High School Seniors with Mild Disabilities to Access Accommodations in College,” Remedial and Special Education 40, no. 3 (June 1, 2019): 166–176.","noteIndex":60},"citationItems":[{"id":1919,"uris":["http://zotero.org/users/6986165/items/8A285P2W"],"uri":["http://zotero.org/users/6986165/items/8A285P2W"],"itemData":{"id":1919,"type":"article-journal","abstract":"For students with high-incidence disabilities, the transition from secondary to postsecondary educational settings poses the additional challenge of acquiring accommodations. Self-advocacy interventions have been identified as important skills for students with disabilities in accessing accommodations. The purpose of this study was to examine the effects of \"Self-Advocacy and Conflict Resolution\" (SACR) instruction on the ability of four high school seniors with mild disabilities to request and negotiate academic accommodations. Results of this multiple probe across participant study indicated a functional relation between \"SACR\" instruction and students' ability to request and negotiate academic accommodations in a role-play situation and in situ. Implications for practice and suggestions for future research are offered.","archive":"ERIC","archive_location":"SAGE Publications and Hammill Institute on Disabilities. 2455 Teller Road, Thousand Oaks, CA 91320. Tel: 800-818-7243; Tel: 805-499-9774; Fax: 800-583-2665; e-mail: journals@sagepub.com; Web site: http://sagepub.com","container-title":"Remedial and Special Education","ISSN":"0741-9325","issue":"3","journalAbbreviation":"Remedial and Special Education","note":"publisher: Remedial and Special Education","page":"166-176","source":"EBSCOhost","title":"Self-Advocacy Instruction to Teach High School Seniors with Mild Disabilities to Access Accommodations in College","volume":"40","author":[{"family":"Holzberg","given":"Debra G."},{"family":"Test","given":"David W."},{"family":"Rusher","given":"Dana E."}],"issued":{"date-parts":[["2019",6,1]]}}}],"schema":"https://github.com/citation-style-language/schema/raw/master/csl-citation.json"}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Debra G. Holzberg, David W. Test, and Dana E. Rusher, “Self-Advocacy Instruction to Teach High School Seniors with Mild Disabilities to Access Accommodations in College,” </w:t>
      </w:r>
      <w:r w:rsidRPr="0097296D">
        <w:rPr>
          <w:rFonts w:ascii="Times New Roman" w:hAnsi="Times New Roman" w:cs="Times New Roman"/>
          <w:i/>
          <w:iCs/>
        </w:rPr>
        <w:t>Remedial and Special Education</w:t>
      </w:r>
      <w:r w:rsidRPr="0097296D">
        <w:rPr>
          <w:rFonts w:ascii="Times New Roman" w:hAnsi="Times New Roman" w:cs="Times New Roman"/>
        </w:rPr>
        <w:t xml:space="preserve"> 40, no. 3 (June 1, 2019): 166–176.</w:t>
      </w:r>
      <w:r w:rsidRPr="0097296D">
        <w:rPr>
          <w:rFonts w:ascii="Times New Roman" w:hAnsi="Times New Roman" w:cs="Times New Roman"/>
        </w:rPr>
        <w:fldChar w:fldCharType="end"/>
      </w:r>
      <w:r w:rsidRPr="0097296D">
        <w:rPr>
          <w:rFonts w:ascii="Times New Roman" w:hAnsi="Times New Roman" w:cs="Times New Roman"/>
        </w:rPr>
        <w:t xml:space="preserve"> </w:t>
      </w:r>
    </w:p>
    <w:p w14:paraId="7AC341A1" w14:textId="77777777" w:rsidR="00706789" w:rsidRPr="0097296D" w:rsidRDefault="00706789" w:rsidP="004807F2">
      <w:pPr>
        <w:pStyle w:val="EndnoteText"/>
        <w:ind w:firstLine="720"/>
        <w:rPr>
          <w:rFonts w:ascii="Times New Roman" w:hAnsi="Times New Roman" w:cs="Times New Roman"/>
        </w:rPr>
      </w:pPr>
    </w:p>
  </w:endnote>
  <w:endnote w:id="67">
    <w:p w14:paraId="183047DA" w14:textId="3037F64A" w:rsidR="00706789" w:rsidRPr="0097296D" w:rsidRDefault="00706789" w:rsidP="00EB49D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{"citationID":"u2DOJofQ","properties":{"formattedCitation":"\\uc0\\u8220{}Supplemental Fact Sheet Addressing the Risk of COVID-19 in Preschool, Elementary and Secondary Schools While Serving Children with Disabilities (March 21, 2020),\\uc0\\u8221{} {\\i{}Individuals with Disabilities Education Act}, n.d., accessed June 2, 2021, https://sites.ed.gov/idea/idea-files/supplemental-fact-sheet-addressing-risk-covid-19-preschool-elementary-secondary-schools-serving-children-disabilities-march-21-2020/.","plainCitation":"“Supplemental Fact Sheet Addressing the Risk of COVID-19 in Preschool, Elementary and Secondary Schools While Serving Children with Disabilities (March 21, 2020),” Individuals with Disabilities Education Act, n.d., accessed June 2, 2021, https://sites.ed.gov/idea/idea-files/supplemental-fact-sheet-addressing-risk-covid-19-preschool-elementary-secondary-schools-serving-children-disabilities-march-21-2020/.","noteIndex":61},"citationItems":[{"id":2347,"uris":["http://zotero.org/users/6986165/items/E66G2PXH"],"uri":["http://zotero.org/users/6986165/items/E66G2PXH"],"itemData":{"id":2347,"type":"post-weblog","abstract":"AAAHome » Policy Documents » Supplemental Fact Sheet Addressing the Risk of COVID-19 in Preschool, Elementary and Secondary Schools While Serving Children with Disabilities (March 21, 2020)Topic Areas: COVID-19Summary The Department released new information clarifying that federal law should not be used to prevent schools from offering distance learning opportunities to all students, including studentsContinue Reading","container-title":"Individuals with Disabilities Education Act","language":"en-US","title":"Supplemental Fact Sheet Addressing the Risk of COVID-19 in Preschool, Elementary and Secondary Schools While Serving Children with Disabilities (March 21, 2020)","URL":"https://sites.ed.gov/idea/idea-files/supplemental-fact-sheet-addressing-risk-covid-19-preschool-elementary-secondary-schools-serving-children-disabilities-march-21-2020/","accessed":{"date-parts":[["2021",6,2]]}}}],"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“Supplemental Fact Sheet Addressing the Risk of COVID-19 in Preschool, Elementary and Secondary Schools While Serving Children with Disabilities (March 21, 2020),” </w:t>
      </w:r>
      <w:r w:rsidRPr="0097296D">
        <w:rPr>
          <w:rFonts w:ascii="Times New Roman" w:hAnsi="Times New Roman" w:cs="Times New Roman"/>
          <w:i/>
          <w:iCs/>
        </w:rPr>
        <w:t>Individuals with Disabilities Education Act</w:t>
      </w:r>
      <w:r w:rsidRPr="0097296D">
        <w:rPr>
          <w:rFonts w:ascii="Times New Roman" w:hAnsi="Times New Roman" w:cs="Times New Roman"/>
        </w:rPr>
        <w:t>, n.d., accessed June 2, 2021, https://sites.ed.gov/idea/idea-files/supplemental-fact-sheet-addressing-risk-covid-19-preschool-elementary-secondary-schools-serving-children-disabilities-march-21-2020/.</w:t>
      </w:r>
      <w:r w:rsidRPr="0097296D">
        <w:rPr>
          <w:rFonts w:ascii="Times New Roman" w:hAnsi="Times New Roman" w:cs="Times New Roman"/>
        </w:rPr>
        <w:fldChar w:fldCharType="end"/>
      </w:r>
      <w:r w:rsidRPr="0097296D">
        <w:rPr>
          <w:rFonts w:ascii="Times New Roman" w:hAnsi="Times New Roman" w:cs="Times New Roman"/>
        </w:rPr>
        <w:t xml:space="preserve"> </w:t>
      </w:r>
    </w:p>
    <w:p w14:paraId="0DEFAE16" w14:textId="77777777" w:rsidR="00706789" w:rsidRPr="0097296D" w:rsidRDefault="00706789" w:rsidP="00EB49D2">
      <w:pPr>
        <w:pStyle w:val="EndnoteText"/>
        <w:ind w:firstLine="720"/>
        <w:rPr>
          <w:rFonts w:ascii="Times New Roman" w:hAnsi="Times New Roman" w:cs="Times New Roman"/>
        </w:rPr>
      </w:pPr>
    </w:p>
  </w:endnote>
  <w:endnote w:id="68">
    <w:p w14:paraId="415BA5B8" w14:textId="48F74567" w:rsidR="00706789" w:rsidRPr="0097296D" w:rsidRDefault="00706789" w:rsidP="004807F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{"citationID":"9tnUbB8G","properties":{"formattedCitation":"Stefania Cataudella et al., \\uc0\\u8220{}Psychological Aspects of Students With Learning Disabilities in E-Environments: A Mini Review and Future Research Directions.,\\uc0\\u8221{} {\\i{}Frontiers in Psychology} 11 (January 7, 2021): N.PAG-N.PAG.","plainCitation":"Stefania Cataudella et al., “Psychological Aspects of Students With Learning Disabilities in E-Environments: A Mini Review and Future Research Directions.,” Frontiers in Psychology 11 (January 7, 2021): N.PAG-N.PAG.","noteIndex":62},"citationItems":[{"id":1943,"uris":["http://zotero.org/users/6986165/items/NFTUBBEY"],"uri":["http://zotero.org/users/6986165/items/NFTUBBEY"],"itemData":{"id":1943,"type":"article-journal","abstract":"What are the main learning difficulties or advantages encountered by students with learning disabilities (LDs) within e-environments? As a result of the Covid-19 emergency, e-learning is being increasingly used to support students' learning processes. A number of countries closed their schools altogether, so face-to-face lessons were and have been replaced by distance lessons. A search of current literature via Scopus, Eric and Google Scholar electronic databases was conducted according to Prisma Guidelines. Other sources of literature were also considered, starting from the references in the full text of the articles consulted. We used the following search keywords: \"LDs\" combined with the \"AND/OR\" Boolean operator and \"e-learning platforms,\" \"well-being,\" \"psychological factors,\" \"emotional distress,\" and \"self-regulation.\" One body of literature highlights the lack of inclusive accessibility standards and a lack of attention to specific tools for addressing LDs, which causes students to develop high levels of stress/anxiety and emotional distress, in addition to low levels of well-being, self-esteem and self-efficacy. Another area of literature looks at how students can develop high levels of self-regulation and emotional awareness, as well as high levels of inclusion. Results are discussed in terms of the promotion of e-learning that focuses on the psychological well-being of students and teachers use of technological tools. [ABSTRACT FROM AUTHOR]","archive":"Complementary Index","container-title":"Frontiers in Psychology","ISSN":"16641078","journalAbbreviation":"Frontiers in Psychology","page":"N.PAG-N.PAG","source":"EBSCOhost","title":"Psychological Aspects of Students With Learning Disabilities in E-Environments: A Mini Review and Future Research Directions.","volume":"11","author":[{"family":"Cataudella","given":"Stefania"},{"family":"Carta","given":"Stefano"},{"family":"Mascia","given":"Maria Lidia"},{"family":"Masala","given":"Carmelo"},{"family":"Petretto","given":"Donatella Rita"},{"family":"Penna","given":"Maria Pietronilla"}],"issued":{"date-parts":[["2021",1,7]]}}}],"schema":"https://github.com/citation-style-language/schema/raw/master/csl-citation.json"}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Stefania Cataudella et al., “Psychological Aspects of Students With Learning Disabilities in E-Environments: A Mini Review and Future Research Directions.,” </w:t>
      </w:r>
      <w:r w:rsidRPr="0097296D">
        <w:rPr>
          <w:rFonts w:ascii="Times New Roman" w:hAnsi="Times New Roman" w:cs="Times New Roman"/>
          <w:i/>
          <w:iCs/>
        </w:rPr>
        <w:t>Frontiers in Psychology</w:t>
      </w:r>
      <w:r w:rsidRPr="0097296D">
        <w:rPr>
          <w:rFonts w:ascii="Times New Roman" w:hAnsi="Times New Roman" w:cs="Times New Roman"/>
        </w:rPr>
        <w:t xml:space="preserve"> 11 (January 7, 2021): </w:t>
      </w:r>
      <w:r w:rsidR="00FF1EC5">
        <w:rPr>
          <w:rFonts w:ascii="Times New Roman" w:hAnsi="Times New Roman" w:cs="Times New Roman"/>
        </w:rPr>
        <w:t>1-2</w:t>
      </w:r>
      <w:r w:rsidRPr="0097296D">
        <w:rPr>
          <w:rFonts w:ascii="Times New Roman" w:hAnsi="Times New Roman" w:cs="Times New Roman"/>
        </w:rPr>
        <w:t>.</w:t>
      </w:r>
      <w:r w:rsidRPr="0097296D">
        <w:rPr>
          <w:rFonts w:ascii="Times New Roman" w:hAnsi="Times New Roman" w:cs="Times New Roman"/>
        </w:rPr>
        <w:fldChar w:fldCharType="end"/>
      </w:r>
      <w:r w:rsidRPr="0097296D">
        <w:rPr>
          <w:rFonts w:ascii="Times New Roman" w:hAnsi="Times New Roman" w:cs="Times New Roman"/>
        </w:rPr>
        <w:t xml:space="preserve"> </w:t>
      </w:r>
      <w:r w:rsidR="00F449FF" w:rsidRPr="0097296D" w:rsidDel="00F449FF">
        <w:rPr>
          <w:rFonts w:ascii="Times New Roman" w:hAnsi="Times New Roman" w:cs="Times New Roman"/>
        </w:rPr>
        <w:t xml:space="preserve"> </w:t>
      </w:r>
    </w:p>
  </w:endnote>
  <w:endnote w:id="69">
    <w:p w14:paraId="5003BCE7" w14:textId="77777777" w:rsidR="00706789" w:rsidRDefault="00706789" w:rsidP="006A432F">
      <w:pPr>
        <w:pStyle w:val="EndnoteText"/>
        <w:ind w:firstLine="720"/>
      </w:pPr>
    </w:p>
    <w:p w14:paraId="0C72D45B" w14:textId="32723845" w:rsidR="00706789" w:rsidRPr="006A432F" w:rsidRDefault="00706789" w:rsidP="006A432F">
      <w:pPr>
        <w:pStyle w:val="EndnoteText"/>
        <w:ind w:firstLine="720"/>
        <w:rPr>
          <w:rFonts w:ascii="Times New Roman" w:hAnsi="Times New Roman" w:cs="Times New Roman"/>
        </w:rPr>
      </w:pPr>
      <w:r w:rsidRPr="006A432F">
        <w:rPr>
          <w:rStyle w:val="EndnoteReference"/>
          <w:rFonts w:ascii="Times New Roman" w:hAnsi="Times New Roman" w:cs="Times New Roman"/>
        </w:rPr>
        <w:endnoteRef/>
      </w:r>
      <w:r w:rsidRPr="006A432F">
        <w:rPr>
          <w:rFonts w:ascii="Times New Roman" w:hAnsi="Times New Roman" w:cs="Times New Roman"/>
        </w:rPr>
        <w:t xml:space="preserve"> </w:t>
      </w:r>
      <w:r>
        <w:rPr>
          <w:rFonts w:ascii="Times New Roman" w:hAnsi="Times New Roman" w:cs="Times New Roman"/>
        </w:rPr>
        <w:t xml:space="preserve">See the last column in Table 1 for a brief explanation for the implications of engaging </w:t>
      </w:r>
      <w:r w:rsidR="00F449FF">
        <w:rPr>
          <w:rFonts w:ascii="Times New Roman" w:hAnsi="Times New Roman" w:cs="Times New Roman"/>
        </w:rPr>
        <w:t>students</w:t>
      </w:r>
      <w:r>
        <w:rPr>
          <w:rFonts w:ascii="Times New Roman" w:hAnsi="Times New Roman" w:cs="Times New Roman"/>
        </w:rPr>
        <w:t xml:space="preserve"> with specific learning disabilities in digital learning environments.</w:t>
      </w:r>
    </w:p>
  </w:endnote>
  <w:endnote w:id="70">
    <w:p w14:paraId="7412BA7A" w14:textId="77777777" w:rsidR="00706789" w:rsidRPr="0097296D" w:rsidRDefault="00706789">
      <w:pPr>
        <w:pStyle w:val="EndnoteText"/>
        <w:rPr>
          <w:rFonts w:ascii="Times New Roman" w:hAnsi="Times New Roman" w:cs="Times New Roman"/>
        </w:rPr>
      </w:pPr>
    </w:p>
    <w:p w14:paraId="43257CC2" w14:textId="77777777" w:rsidR="00706789" w:rsidRPr="0097296D" w:rsidRDefault="00706789" w:rsidP="001C75B7">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Wahab Ali, “Online and Remote Learning in Higher Education Institutes: A Necessity in Light of COVID-19 Pandemic,” </w:t>
      </w:r>
      <w:r w:rsidRPr="0097296D">
        <w:rPr>
          <w:rFonts w:ascii="Times New Roman" w:hAnsi="Times New Roman" w:cs="Times New Roman"/>
          <w:i/>
          <w:iCs/>
        </w:rPr>
        <w:t>Higher Education Studies</w:t>
      </w:r>
      <w:r w:rsidRPr="0097296D">
        <w:rPr>
          <w:rFonts w:ascii="Times New Roman" w:hAnsi="Times New Roman" w:cs="Times New Roman"/>
        </w:rPr>
        <w:t xml:space="preserve"> 10, no. 3 (May 18, 2020): 16.</w:t>
      </w:r>
    </w:p>
    <w:p w14:paraId="2B99782B" w14:textId="77777777" w:rsidR="00706789" w:rsidRPr="0097296D" w:rsidRDefault="00706789" w:rsidP="001C75B7">
      <w:pPr>
        <w:pStyle w:val="EndnoteText"/>
        <w:rPr>
          <w:rFonts w:ascii="Times New Roman" w:hAnsi="Times New Roman" w:cs="Times New Roman"/>
        </w:rPr>
      </w:pPr>
    </w:p>
  </w:endnote>
  <w:endnote w:id="71">
    <w:p w14:paraId="0A47092D" w14:textId="77777777" w:rsidR="007A54FC" w:rsidRDefault="00706789" w:rsidP="00F449FF">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Merriam and Baumgartner, </w:t>
      </w:r>
      <w:r w:rsidRPr="0097296D">
        <w:rPr>
          <w:rFonts w:ascii="Times New Roman" w:hAnsi="Times New Roman" w:cs="Times New Roman"/>
          <w:i/>
          <w:iCs/>
        </w:rPr>
        <w:t>Learning in Adulthood</w:t>
      </w:r>
      <w:r>
        <w:rPr>
          <w:rFonts w:ascii="Times New Roman" w:hAnsi="Times New Roman" w:cs="Times New Roman"/>
          <w:i/>
          <w:iCs/>
        </w:rPr>
        <w:t xml:space="preserve">, </w:t>
      </w:r>
      <w:r w:rsidRPr="0097296D">
        <w:rPr>
          <w:rFonts w:ascii="Times New Roman" w:hAnsi="Times New Roman" w:cs="Times New Roman"/>
        </w:rPr>
        <w:t>27-31.</w:t>
      </w:r>
    </w:p>
    <w:p w14:paraId="38397BED" w14:textId="1791A2AF" w:rsidR="00706789" w:rsidRPr="0097296D" w:rsidRDefault="00706789" w:rsidP="008A0A9E">
      <w:pPr>
        <w:pStyle w:val="EndnoteText"/>
        <w:ind w:firstLine="720"/>
        <w:rPr>
          <w:rFonts w:ascii="Times New Roman" w:hAnsi="Times New Roman" w:cs="Times New Roman"/>
        </w:rPr>
      </w:pPr>
      <w:r w:rsidRPr="0097296D">
        <w:rPr>
          <w:rFonts w:ascii="Times New Roman" w:hAnsi="Times New Roman" w:cs="Times New Roman"/>
        </w:rPr>
        <w:t xml:space="preserve"> </w:t>
      </w:r>
    </w:p>
  </w:endnote>
  <w:endnote w:id="72">
    <w:p w14:paraId="0B8C34E2" w14:textId="2E5F7F50" w:rsidR="007A54FC" w:rsidRPr="0097296D" w:rsidRDefault="00706789" w:rsidP="00301CD5">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Merriam and Baumgartner, </w:t>
      </w:r>
      <w:r w:rsidRPr="0097296D">
        <w:rPr>
          <w:rFonts w:ascii="Times New Roman" w:hAnsi="Times New Roman" w:cs="Times New Roman"/>
          <w:i/>
          <w:iCs/>
        </w:rPr>
        <w:t>Learning in Adulthood</w:t>
      </w:r>
      <w:r>
        <w:rPr>
          <w:rFonts w:ascii="Times New Roman" w:hAnsi="Times New Roman" w:cs="Times New Roman"/>
          <w:i/>
          <w:iCs/>
        </w:rPr>
        <w:t>,</w:t>
      </w:r>
      <w:r w:rsidRPr="0097296D">
        <w:rPr>
          <w:rFonts w:ascii="Times New Roman" w:hAnsi="Times New Roman" w:cs="Times New Roman"/>
        </w:rPr>
        <w:t xml:space="preserve"> 31-36. </w:t>
      </w:r>
    </w:p>
    <w:p w14:paraId="5A6090D4" w14:textId="77777777" w:rsidR="00706789" w:rsidRPr="0097296D" w:rsidRDefault="00706789" w:rsidP="00F449FF">
      <w:pPr>
        <w:pStyle w:val="EndnoteText"/>
        <w:ind w:firstLine="720"/>
        <w:rPr>
          <w:rFonts w:ascii="Times New Roman" w:hAnsi="Times New Roman" w:cs="Times New Roman"/>
        </w:rPr>
      </w:pPr>
    </w:p>
  </w:endnote>
  <w:endnote w:id="73">
    <w:p w14:paraId="26014C3A" w14:textId="03F856D4" w:rsidR="00706789" w:rsidRPr="008A0A9E" w:rsidRDefault="00706789" w:rsidP="00AF26BF">
      <w:pPr>
        <w:pStyle w:val="EndnoteText"/>
        <w:ind w:firstLine="720"/>
        <w:rPr>
          <w:rFonts w:ascii="Times New Roman" w:hAnsi="Times New Roman" w:cs="Times New Roman"/>
        </w:rPr>
      </w:pPr>
      <w:r w:rsidRPr="008A0A9E">
        <w:rPr>
          <w:rStyle w:val="EndnoteReference"/>
          <w:rFonts w:ascii="Times New Roman" w:hAnsi="Times New Roman" w:cs="Times New Roman"/>
        </w:rPr>
        <w:endnoteRef/>
      </w:r>
      <w:r w:rsidRPr="008A0A9E">
        <w:rPr>
          <w:rFonts w:ascii="Times New Roman" w:hAnsi="Times New Roman" w:cs="Times New Roman"/>
        </w:rPr>
        <w:t xml:space="preserve"> Louise </w:t>
      </w:r>
      <w:r w:rsidRPr="008A0A9E">
        <w:rPr>
          <w:rFonts w:ascii="Times New Roman" w:hAnsi="Times New Roman" w:cs="Times New Roman"/>
        </w:rPr>
        <w:t xml:space="preserve">Gosbell, “Universal Design for Learning in Christian Higher Education: Inclusive Practices for Students with and Without Disability,” in </w:t>
      </w:r>
      <w:r w:rsidRPr="008A0A9E">
        <w:rPr>
          <w:rFonts w:ascii="Times New Roman" w:hAnsi="Times New Roman" w:cs="Times New Roman"/>
          <w:i/>
          <w:iCs/>
        </w:rPr>
        <w:t>Innovating Christian Education Research</w:t>
      </w:r>
      <w:r w:rsidRPr="008A0A9E">
        <w:rPr>
          <w:rFonts w:ascii="Times New Roman" w:hAnsi="Times New Roman" w:cs="Times New Roman"/>
        </w:rPr>
        <w:t>, ed. Johannes M. Luetz and Beth Green (Singapore: Springer Singapore, 2021), 423–442</w:t>
      </w:r>
      <w:r w:rsidR="00F449FF">
        <w:rPr>
          <w:rFonts w:ascii="Times New Roman" w:hAnsi="Times New Roman" w:cs="Times New Roman"/>
        </w:rPr>
        <w:t>.</w:t>
      </w:r>
      <w:r w:rsidRPr="008A0A9E">
        <w:rPr>
          <w:rFonts w:ascii="Times New Roman" w:hAnsi="Times New Roman" w:cs="Times New Roman"/>
        </w:rPr>
        <w:t xml:space="preserve"> </w:t>
      </w:r>
    </w:p>
    <w:p w14:paraId="210F6BF2" w14:textId="1AD61AB3" w:rsidR="00706789" w:rsidRDefault="00706789" w:rsidP="008A0A9E">
      <w:pPr>
        <w:pStyle w:val="EndnoteText"/>
        <w:ind w:firstLine="720"/>
      </w:pPr>
      <w:r>
        <w:t xml:space="preserve"> </w:t>
      </w:r>
    </w:p>
  </w:endnote>
  <w:endnote w:id="74">
    <w:p w14:paraId="448BBA91" w14:textId="7C4ED05E" w:rsidR="00706789" w:rsidRPr="0097296D" w:rsidRDefault="00706789" w:rsidP="00D60844">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{"citationID":"XsSCNiNg","properties":{"formattedCitation":"Katherine Terras, Sarah Anderson, and Shannon Grave, \\uc0\\u8220{}Comparing Disability Accommodations in Online Courses: A Cross-Classification,\\uc0\\u8221{} {\\i{}Journal of Educators Online} 17, no. 2 (July 1, 2020), http://aaron.swbts.edu/login?url=https://search.ebscohost.com/login.aspx?direct=true&amp;db=eric&amp;AN=EJ1268737&amp;site=eds-live.","plainCitation":"Katherine Terras, Sarah Anderson, and Shannon Grave, “Comparing Disability Accommodations in Online Courses: A Cross-Classification,” Journal of Educators Online 17, no. 2 (July 1, 2020), http://aaron.swbts.edu/login?url=https://search.ebscohost.com/login.aspx?direct=true&amp;db=eric&amp;AN=EJ1268737&amp;site=eds-live.","noteIndex":66},"citationItems":[{"id":1806,"uris":["http://zotero.org/users/6986165/items/SQH2SKK7"],"uri":["http://zotero.org/users/6986165/items/SQH2SKK7"],"itemData":{"id":1806,"type":"article-journal","abstract":"This study shares similarities and differences in the experiences of graduate students with disabilities receiving accommodations in online courses based on their disability classifications. Data were collected using semistructured interviews and analyzed to identify core ideas through constant comparison, and propositions were formulated according to disability classification. The results indicated that all the participants were self-accommodated in online courses and were successful. The participants with ADHD were most impacted by their disability while those with visual impairments and chronic health impairments appeared least impacted in the online learning environment. Individualized, inclusive approaches for accommodating students in online programs are critical to supporting the development of the learner.","archive":"ERIC","archive_location":"Journal of Educators Online. Grand Canyon University, 23300 West Camelback Road, Phoenix, AZ 85017. e-mail: CIRT@gcu.edu. Web site: https://www.thejeo.com","container-title":"Journal of Educators Online","ISSN":"1547-500X","issue":"2","journalAbbreviation":"Journal of Educators Online","note":"publisher: Journal of Educators Online","source":"EBSCOhost","title":"Comparing Disability Accommodations in Online Courses: A Cross-Classification","URL":"http://aaron.swbts.edu/login?url=https://search.ebscohost.com/login.aspx?direct=true&amp;db=eric&amp;AN=EJ1268737&amp;site=eds-live","volume":"17","author":[{"family":"Terras","given":"Katherine"},{"family":"Anderson","given":"Sarah"},{"family":"Grave","given":"Shannon"}],"issued":{"date-parts":[["2020",7,1]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Katherine Terras, Sarah Anderson, and Shannon Grave, “Comparing Disability Accommodations in Online Courses: A Cross-Classification,” </w:t>
      </w:r>
      <w:r w:rsidRPr="0097296D">
        <w:rPr>
          <w:rFonts w:ascii="Times New Roman" w:hAnsi="Times New Roman" w:cs="Times New Roman"/>
          <w:i/>
          <w:iCs/>
        </w:rPr>
        <w:t>Journal of Educators Online</w:t>
      </w:r>
      <w:r w:rsidRPr="0097296D">
        <w:rPr>
          <w:rFonts w:ascii="Times New Roman" w:hAnsi="Times New Roman" w:cs="Times New Roman"/>
        </w:rPr>
        <w:t xml:space="preserve"> 17, no. 2 (July 1, 2020), </w:t>
      </w:r>
      <w:r w:rsidRPr="0097296D">
        <w:rPr>
          <w:rFonts w:ascii="Times New Roman" w:hAnsi="Times New Roman" w:cs="Times New Roman"/>
        </w:rPr>
        <w:fldChar w:fldCharType="end"/>
      </w:r>
      <w:r w:rsidR="008A0A9E" w:rsidRPr="00561CAD">
        <w:rPr>
          <w:rFonts w:ascii="Times New Roman" w:hAnsi="Times New Roman" w:cs="Times New Roman"/>
        </w:rPr>
        <w:t>10-12</w:t>
      </w:r>
      <w:r w:rsidR="008A0A9E">
        <w:rPr>
          <w:rFonts w:ascii="Times New Roman" w:hAnsi="Times New Roman" w:cs="Times New Roman"/>
        </w:rPr>
        <w:t>.</w:t>
      </w:r>
    </w:p>
    <w:p w14:paraId="78B1CEA2" w14:textId="77777777" w:rsidR="00706789" w:rsidRPr="0097296D" w:rsidRDefault="00706789" w:rsidP="00D60844">
      <w:pPr>
        <w:pStyle w:val="EndnoteText"/>
        <w:ind w:firstLine="720"/>
        <w:rPr>
          <w:rFonts w:ascii="Times New Roman" w:hAnsi="Times New Roman" w:cs="Times New Roman"/>
        </w:rPr>
      </w:pPr>
    </w:p>
  </w:endnote>
  <w:endnote w:id="75">
    <w:p w14:paraId="29BC35CE" w14:textId="4FD6DAF2" w:rsidR="00706789" w:rsidRPr="0097296D" w:rsidRDefault="00706789" w:rsidP="007E65F6">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{"citationID":"ek9pgamN","properties":{"formattedCitation":"US Census Bureau, \\uc0\\u8220{}Week 21 Household Pulse Survey: December 9 \\uc0\\u8211{} December 21,\\uc0\\u8221{} {\\i{}Census.Gov}, accessed June 3, 2021, https://www.census.gov/data/tables/2020/demo/hhp/hhp21.html.","plainCitation":"US Census Bureau, “Week 21 Household Pulse Survey: December 9 – December 21,” Census.Gov, accessed June 3, 2021, https://www.census.gov/data/tables/2020/demo/hhp/hhp21.html.","noteIndex":67},"citationItems":[{"id":2349,"uris":["http://zotero.org/users/6986165/items/5FM6QPJF"],"uri":["http://zotero.org/users/6986165/items/5FM6QPJF"],"itemData":{"id":2349,"type":"webpage","abstract":"Detailed tables and standard error tables for Household Pulse Survey results taken during December 9, 2020 – December 21, 2020.","container-title":"Census.gov","language":"EN-US","note":"section: Government","title":"Week 21 Household Pulse Survey: December 9 – December 21","title-short":"Week 21 Household Pulse Survey","URL":"https://www.census.gov/data/tables/2020/demo/hhp/hhp21.html","author":[{"family":"Bureau","given":"US Census"}],"accessed":{"date-parts":[["2021",6,3]]}}}],"schema":"https://github.com/citation-style-language/schema/raw/master/csl-citation.json"}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US Census Bureau, “Week 21 Household Pulse Survey: December 9 – December 21,” </w:t>
      </w:r>
      <w:r w:rsidRPr="0097296D">
        <w:rPr>
          <w:rFonts w:ascii="Times New Roman" w:hAnsi="Times New Roman" w:cs="Times New Roman"/>
          <w:i/>
          <w:iCs/>
        </w:rPr>
        <w:t>Census.Gov</w:t>
      </w:r>
      <w:r w:rsidRPr="0097296D">
        <w:rPr>
          <w:rFonts w:ascii="Times New Roman" w:hAnsi="Times New Roman" w:cs="Times New Roman"/>
        </w:rPr>
        <w:t>, accessed June 3, 2021, https://www.census.gov/data/tables/2020/demo/hhp/hhp21.html.</w:t>
      </w:r>
      <w:r w:rsidRPr="0097296D">
        <w:rPr>
          <w:rFonts w:ascii="Times New Roman" w:hAnsi="Times New Roman" w:cs="Times New Roman"/>
        </w:rPr>
        <w:fldChar w:fldCharType="end"/>
      </w:r>
      <w:r w:rsidRPr="0097296D">
        <w:rPr>
          <w:rFonts w:ascii="Times New Roman" w:hAnsi="Times New Roman" w:cs="Times New Roman"/>
        </w:rPr>
        <w:t xml:space="preserve"> </w:t>
      </w:r>
    </w:p>
    <w:p w14:paraId="10E258A2" w14:textId="77777777" w:rsidR="00706789" w:rsidRPr="0097296D" w:rsidRDefault="00706789" w:rsidP="007E65F6">
      <w:pPr>
        <w:pStyle w:val="EndnoteText"/>
        <w:ind w:firstLine="720"/>
        <w:rPr>
          <w:rFonts w:ascii="Times New Roman" w:hAnsi="Times New Roman" w:cs="Times New Roman"/>
        </w:rPr>
      </w:pPr>
    </w:p>
  </w:endnote>
  <w:endnote w:id="76">
    <w:p w14:paraId="3C4927C6" w14:textId="5DCD7B0F" w:rsidR="00706789" w:rsidRPr="00C766A8" w:rsidRDefault="00706789" w:rsidP="00C766A8">
      <w:pPr>
        <w:pStyle w:val="EndnoteText"/>
        <w:ind w:firstLine="720"/>
        <w:rPr>
          <w:rFonts w:ascii="Times New Roman" w:hAnsi="Times New Roman" w:cs="Times New Roman"/>
        </w:rPr>
      </w:pPr>
      <w:r w:rsidRPr="00C766A8">
        <w:rPr>
          <w:rStyle w:val="EndnoteReference"/>
          <w:rFonts w:ascii="Times New Roman" w:hAnsi="Times New Roman" w:cs="Times New Roman"/>
        </w:rPr>
        <w:endnoteRef/>
      </w:r>
      <w:r w:rsidRPr="00C766A8">
        <w:rPr>
          <w:rFonts w:ascii="Times New Roman" w:hAnsi="Times New Roman" w:cs="Times New Roman"/>
        </w:rPr>
        <w:t xml:space="preserve"> Sharan B. Merriam and Lisa Baumgartner, </w:t>
      </w:r>
      <w:r w:rsidRPr="00C766A8">
        <w:rPr>
          <w:rFonts w:ascii="Times New Roman" w:hAnsi="Times New Roman" w:cs="Times New Roman"/>
          <w:i/>
          <w:iCs/>
        </w:rPr>
        <w:t>Learning in Adulthood: A Comprehensive Guide</w:t>
      </w:r>
      <w:r w:rsidRPr="00C766A8">
        <w:rPr>
          <w:rFonts w:ascii="Times New Roman" w:hAnsi="Times New Roman" w:cs="Times New Roman"/>
        </w:rPr>
        <w:t>, Fourth Edition., The Jossey-Bass higher and adult education series (San Francisco: Jossey-Bass, 2020)</w:t>
      </w:r>
      <w:r>
        <w:rPr>
          <w:rFonts w:ascii="Times New Roman" w:hAnsi="Times New Roman" w:cs="Times New Roman"/>
        </w:rPr>
        <w:t>, 144-45.</w:t>
      </w:r>
    </w:p>
    <w:p w14:paraId="5814A57C" w14:textId="5D87B0EB" w:rsidR="00706789" w:rsidRDefault="00706789" w:rsidP="00C766A8">
      <w:pPr>
        <w:pStyle w:val="EndnoteText"/>
        <w:ind w:firstLine="720"/>
      </w:pPr>
    </w:p>
  </w:endnote>
  <w:endnote w:id="77">
    <w:p w14:paraId="2449D9F1" w14:textId="4314EC44" w:rsidR="00706789" w:rsidRPr="0097296D" w:rsidRDefault="00706789" w:rsidP="00A0534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{"citationID":"9JXFRtXb","properties":{"formattedCitation":"Eddy, \\uc0\\u8220{}A Survey Study of College Students with Disabilities and Their Involvement in the IEP/Transition Planning Process.\\uc0\\u8221{}","plainCitation":"Eddy, “A Survey Study of College Students with Disabilities and Their Involvement in the IEP/Transition Planning Process.”","noteIndex":68},"citationItems":[{"id":2079,"uris":["http://zotero.org/users/6986165/items/MKBFWMAC"],"uri":["http://zotero.org/users/6986165/items/MKBFWMAC"],"itemData":{"id":2079,"type":"thesis","abstract":"Educating students with disabilities gained national attention in 1975 with the passage of Public Law 94-142 the Education of All Handicapped Children Act. This law provided students with disabilities with equal access to the same free and appropriate education as students without disabilities, and mandated that schools provide students with disabilities with an individualized education program (IEP) to meet their academic goals. Beginning in the 1980's, researchers and policymakers (Halpern, 1985; Will, 1984) became concerned that students with disabilities were not making a successful transition to higher education or to adulthood. One post-school outcome where there has been a continuing discrepancy between students with and students without disabilities has been graduation rates from postsecondary educational settings (i.e., colleges and universities).    Researchers have noted that self-determination skills are important for students to succeed in college (Brinckerhoff, 1993; Stodden, 2000). Ward (1988) indicated that people with disabilities should have the opportunity to make life decisions for themselves. With the reauthorization of PL 94-142 as the Individuals with Disabilities Education Act (IDEA) in 1990, educators and policymakers began to examine ways for students to participate in planning for their transitions from school to adult life. Because of the increased focus on transition and self-determination, researchers focused on how to get students more involved in their IEP/transition planning.    With the convergence of attention on transition, self-determination, and post-school outcomes, including postsecondary education outcomes, a question emerges as to what degree students with disabilities who transition to college or university settings after high school demonstrate self-determination skills in postsecondary education settings? Do students who are taught self-determination skills in high school generalize those skills to postsecondary education settings? A primary approach to promoting self-determination skills is through teaching students to participate in their IEP/transition planning in high school (Test, Mason, Hughes, Konrad, Neale, &amp;amp; Wood, 2004), but there has been limited research on the relationship between participating in IEP/transition planning and self-determination in college. Therefore, the purposes of this study were to determine (a) how undergraduate college students with disabilities learned self-determination skills, (b) whether they reported themselves to be self-determined in college, and (c) whether a relationship exists between students participating in IEP/transition planning in high school and their self-reporting of being self-determined in their postsecondary education settings.    Results suggested that participating in IEP/transition planning does have a positive relationship with the perceived self-determination of college students with disabilities. This means students reported that participating in IEP/transition planning helped them be self-determined in college. Results suggested a continuing need to encourage students to participate in their IEP/transition planning. Ideas for future research and implications for practice regarding self-determination in both high school and college are discussed.","archive":"ProQuest Dissertations &amp; Theses Global: The Humanities and Social Sciences Collection","archive_location":"790157142","event-place":"Ann Arbor","genre":"Ph.D.","language":"English","note":"ISBN: 978-1-124-29923-5\ncontainer-title: ProQuest Dissertations and Theses\n3430486","number-of-pages":"168","publisher":"The University of North Carolina at Charlotte","publisher-place":"Ann Arbor","title":"A survey study of college students with disabilities and their involvement in the IEP/transition planning process","URL":"http://aaron.swbts.edu/login?url=https://www.proquest.com/dissertations-theses/survey-study-college-students-with-disabilities/docview/790157142/se-2?accountid=7073","author":[{"family":"Eddy","given":"Steve Eugene"}],"issued":{"date-parts":[["2010"]]}}}],"schema":"https://github.com/citation-style-language/schema/raw/master/csl-citation.json"}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Eddy, “A Survey Study of College Students with Disabilities and Their Involvement in the IEP/Transition Planning Process.”</w:t>
      </w:r>
      <w:r w:rsidRPr="0097296D">
        <w:rPr>
          <w:rFonts w:ascii="Times New Roman" w:hAnsi="Times New Roman" w:cs="Times New Roman"/>
        </w:rPr>
        <w:fldChar w:fldCharType="end"/>
      </w:r>
      <w:r w:rsidRPr="0097296D">
        <w:rPr>
          <w:rFonts w:ascii="Times New Roman" w:hAnsi="Times New Roman" w:cs="Times New Roman"/>
        </w:rPr>
        <w:t xml:space="preserve"> 35.</w:t>
      </w:r>
    </w:p>
  </w:endnote>
  <w:endnote w:id="78">
    <w:p w14:paraId="749B8E2C" w14:textId="77777777" w:rsidR="00706789" w:rsidRDefault="00706789" w:rsidP="006A432F">
      <w:pPr>
        <w:pStyle w:val="EndnoteText"/>
        <w:ind w:firstLine="720"/>
        <w:rPr>
          <w:rFonts w:ascii="Times New Roman" w:hAnsi="Times New Roman" w:cs="Times New Roman"/>
        </w:rPr>
      </w:pPr>
    </w:p>
    <w:p w14:paraId="3C1A562F" w14:textId="2EF6E73C" w:rsidR="00706789" w:rsidRPr="006A432F" w:rsidRDefault="00706789" w:rsidP="006A432F">
      <w:pPr>
        <w:pStyle w:val="EndnoteText"/>
        <w:ind w:firstLine="720"/>
        <w:rPr>
          <w:rFonts w:ascii="Times New Roman" w:hAnsi="Times New Roman" w:cs="Times New Roman"/>
        </w:rPr>
      </w:pPr>
      <w:r w:rsidRPr="006A432F">
        <w:rPr>
          <w:rStyle w:val="EndnoteReference"/>
          <w:rFonts w:ascii="Times New Roman" w:hAnsi="Times New Roman" w:cs="Times New Roman"/>
        </w:rPr>
        <w:endnoteRef/>
      </w:r>
      <w:r w:rsidRPr="006A432F">
        <w:rPr>
          <w:rFonts w:ascii="Times New Roman" w:hAnsi="Times New Roman" w:cs="Times New Roman"/>
        </w:rPr>
        <w:t xml:space="preserve"> </w:t>
      </w:r>
      <w:r w:rsidRPr="006A432F">
        <w:rPr>
          <w:rFonts w:ascii="Times New Roman" w:hAnsi="Times New Roman" w:cs="Times New Roman"/>
        </w:rPr>
        <w:t xml:space="preserve">Sumin Lim, “The Capabilities Approach to Inclusive Education: Re-Envisioning the Individuals with Disabilities Education Act’s Least Restrictive Environment.,” </w:t>
      </w:r>
      <w:r w:rsidRPr="006A432F">
        <w:rPr>
          <w:rFonts w:ascii="Times New Roman" w:hAnsi="Times New Roman" w:cs="Times New Roman"/>
          <w:i/>
          <w:iCs/>
        </w:rPr>
        <w:t>Disability &amp; Society</w:t>
      </w:r>
      <w:r w:rsidRPr="006A432F">
        <w:rPr>
          <w:rFonts w:ascii="Times New Roman" w:hAnsi="Times New Roman" w:cs="Times New Roman"/>
        </w:rPr>
        <w:t xml:space="preserve"> 35, no. 4 (May 2020): 570–88.</w:t>
      </w:r>
    </w:p>
    <w:p w14:paraId="267E8C6B" w14:textId="5969107B" w:rsidR="00706789" w:rsidRDefault="00706789">
      <w:pPr>
        <w:pStyle w:val="EndnoteText"/>
      </w:pPr>
    </w:p>
  </w:endnote>
  <w:endnote w:id="79">
    <w:p w14:paraId="73A8FB9D" w14:textId="3B262E75" w:rsidR="00706789" w:rsidRPr="0097296D" w:rsidRDefault="00706789" w:rsidP="007E65F6">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{"citationID":"UzfS4VYs","properties":{"formattedCitation":"Boon, \\uc0\\u8220{}What Do ADHD Neuroimaging Studies Reveal for Teachers, Teacher Educators and Inclusive Education?\\uc0\\u8221{}","plainCitation":"Boon, “What Do ADHD Neuroimaging Studies Reveal for Teachers, Teacher Educators and Inclusive Education?”","noteIndex":69},"citationItems":[{"id":1802,"uris":["http://zotero.org/users/6986165/items/J9DME96R"],"uri":["http://zotero.org/users/6986165/items/J9DME96R"],"itemData":{"id":1802,"type":"article-journal","abstract":"Background: Ongoing debate about Attention Deficit Hyperactivity Disorder (ADHD) has not resolved ambivalent teacher beliefs about ADHD. This is an important matter since teachers' beliefs influence their pedagogy, classroom management, and their referral procedures for formal diagnoses of ADHD. They therefore must be provided with up-to-date professional learning about ADHD. Objective: To synthesise neuroimaging studies, which examined differences in brain organisation and function in those with ADHD compared to matched unaffected controls. The overarching goal was to enhance teachers' understanding of ADHD by providing synthesised research findings around the neurological basis of ADHD. Method: The PRISMA method was used to search the Medline, PsycINFO, Web of Science and Scopus databases to complete a systematic review of peer-reviewed research that compared individuals with ADHD with matched controls published between 2010 and December 2015. Results: The identification and analyses of 174 MRI and fMRI relevant studies across a sample of over 24,000 showed that there are significant differences in neural anatomy and processing in ADHD compared to unaffected matched controls. Conclusions: Compelling evidence shows ADHD is a neurodevelopmental disability, not a socially determined set of behaviours. Results point to an urgent need for teacher professional learning and systematic up-to-date preservice teacher education along with inclusive education policy reform. [ABSTRACT FROM AUTHOR]","archive":"Small Business Reference Center","container-title":"Child &amp; Youth Care Forum","ISSN":"10531890","issue":"4","journalAbbreviation":"Child &amp; Youth Care Forum","note":"publisher: Springer Nature","page":"533-561","source":"EBSCOhost","title":"What do ADHD Neuroimaging Studies Reveal for Teachers, Teacher Educators and Inclusive Education?","volume":"49","author":[{"family":"Boon","given":"Helen J."}],"issued":{"date-parts":[["2020",8]]}}}],"schema":"https://github.com/citation-style-language/schema/raw/master/csl-citation.json"}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Boon, “What Do ADHD Neuroimaging Studies Reveal for Teachers, Teacher Educators and Inclusive Education?”</w:t>
      </w:r>
      <w:r w:rsidRPr="0097296D">
        <w:rPr>
          <w:rFonts w:ascii="Times New Roman" w:hAnsi="Times New Roman" w:cs="Times New Roman"/>
        </w:rPr>
        <w:fldChar w:fldCharType="end"/>
      </w:r>
      <w:r w:rsidRPr="0097296D">
        <w:rPr>
          <w:rFonts w:ascii="Times New Roman" w:hAnsi="Times New Roman" w:cs="Times New Roman"/>
        </w:rPr>
        <w:t xml:space="preserve"> 539-544. </w:t>
      </w:r>
    </w:p>
    <w:p w14:paraId="121D93F4" w14:textId="77777777" w:rsidR="00706789" w:rsidRPr="0097296D" w:rsidRDefault="00706789" w:rsidP="007E65F6">
      <w:pPr>
        <w:pStyle w:val="EndnoteText"/>
        <w:ind w:firstLine="720"/>
        <w:rPr>
          <w:rFonts w:ascii="Times New Roman" w:hAnsi="Times New Roman" w:cs="Times New Roman"/>
        </w:rPr>
      </w:pPr>
    </w:p>
  </w:endnote>
  <w:endnote w:id="80">
    <w:p w14:paraId="35EF6C2A" w14:textId="6AF0417B" w:rsidR="00706789" w:rsidRPr="0097296D" w:rsidRDefault="00706789" w:rsidP="00164059">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{"citationID":"29IZiokY","properties":{"formattedCitation":"Chelsea Z. Busch et al., \\uc0\\u8220{}First-Year College Students with ADHD: Risk for and Correlates of Alcohol and Substance Use,\\uc0\\u8221{} {\\i{}Journal of Postsecondary Education and Disability} 32, no. 4 (January 1, 2019): 377\\uc0\\u8211{}393.","plainCitation":"Chelsea Z. Busch et al., “First-Year College Students with ADHD: Risk for and Correlates of Alcohol and Substance Use,” Journal of Postsecondary Education and Disability 32, no. 4 (January 1, 2019): 377–393.","noteIndex":70},"citationItems":[{"id":1820,"uris":["http://zotero.org/users/6986165/items/MW8N4M8W"],"uri":["http://zotero.org/users/6986165/items/MW8N4M8W"],"itemData":{"id":1820,"type":"article-journal","abstract":"College students with attention-deficit/hyperactivity disorder (ADHD) are at higher than average risk for alcohol and substance use; however, it is unclear whether having ADHD, either alone or in combination with other factors, increases this risk. Further, no prior studies have systematically examined factors that correlate with alcohol and substance use among college students with ADHD. A sample of first year college students with (n = 228; 52.2% female; 76.8% Caucasian) and without (n = 228; 51.3% female; 51.3% Caucasian) ADHD from 10 eastern US universities participated in a longitudinal study examining the long-term outcomes of college students with ADHD. Participants completed a battery of measures including self-report ratings of alcohol and substance use; ADHD, externalizing disorder, anxiety disorder, and depression symptoms; executive functioning; and learning and study strategies. First-year college students with ADHD were significantly more likely to use tobacco, cannabis, and illicit drugs (Cohen's d range = 0.30 to 0.33), but not alcohol (Cohen's d = 0.18). Separate multiple regression models indicated that each of the four substance use outcomes was best explained by a unique combination of predictive factors with anxiety symptoms and executive functioning deficits correlated with increased use of at least two of the substances. Additional longitudinal research is necessary to identify variables associated with ongoing substance use in college students with ADHD so as to inform screening, prevention, and intervention efforts.","archive":"ERIC","archive_location":"Association on Higher Education and Disability. 107 Commerce Center Drive Suite 204, Huntersville, NC 28078. Tel: 704-947-7779; Fax: 704-948-7779; e-mail: ahead@ahead.org; Web site: http://www.ahead.org/publications/jped","container-title":"Journal of Postsecondary Education and Disability","ISSN":"2379-7762","issue":"4","journalAbbreviation":"Journal of Postsecondary Education and Disability","note":"publisher: Journal of Postsecondary Education and Disability","page":"377-393","source":"EBSCOhost","title":"First-Year College Students with ADHD: Risk for and Correlates of Alcohol and Substance Use","volume":"32","author":[{"family":"Busch","given":"Chelsea Z."},{"family":"DuPaul","given":"George J."},{"family":"Anastopoulos","given":"Arthur D."},{"family":"Franklin","given":"Melanie K."},{"family":"Jaffe","given":"Aliza R."},{"family":"Stack","given":"Kristen F."},{"family":"Weyandt","given":"Lisa L."}],"issued":{"date-parts":[["2019",1,1]]}}}],"schema":"https://github.com/citation-style-language/schema/raw/master/csl-citation.json"}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Chelsea Z. Busch et al., “First-Year College Students with ADHD: Risk for and Correlates of Alcohol and Substance Use,” </w:t>
      </w:r>
      <w:r w:rsidRPr="0097296D">
        <w:rPr>
          <w:rFonts w:ascii="Times New Roman" w:hAnsi="Times New Roman" w:cs="Times New Roman"/>
          <w:i/>
          <w:iCs/>
        </w:rPr>
        <w:t>Journal of Postsecondary Education and Disability</w:t>
      </w:r>
      <w:r w:rsidRPr="0097296D">
        <w:rPr>
          <w:rFonts w:ascii="Times New Roman" w:hAnsi="Times New Roman" w:cs="Times New Roman"/>
        </w:rPr>
        <w:t xml:space="preserve"> 32, no. 4 (January 1, 2019): 377–393.</w:t>
      </w:r>
      <w:r w:rsidRPr="0097296D">
        <w:rPr>
          <w:rFonts w:ascii="Times New Roman" w:hAnsi="Times New Roman" w:cs="Times New Roman"/>
        </w:rPr>
        <w:fldChar w:fldCharType="end"/>
      </w:r>
      <w:r w:rsidRPr="0097296D">
        <w:rPr>
          <w:rFonts w:ascii="Times New Roman" w:hAnsi="Times New Roman" w:cs="Times New Roman"/>
        </w:rPr>
        <w:t xml:space="preserve"> </w:t>
      </w:r>
    </w:p>
  </w:endnote>
  <w:endnote w:id="81">
    <w:p w14:paraId="0B6E0AC2" w14:textId="77777777" w:rsidR="00706789" w:rsidRDefault="00706789" w:rsidP="008C49A2">
      <w:pPr>
        <w:pStyle w:val="EndnoteText"/>
        <w:ind w:firstLine="720"/>
        <w:rPr>
          <w:rFonts w:ascii="Times New Roman" w:hAnsi="Times New Roman" w:cs="Times New Roman"/>
        </w:rPr>
      </w:pPr>
    </w:p>
    <w:p w14:paraId="2078F983" w14:textId="1E0D031F" w:rsidR="00706789" w:rsidRPr="0097296D" w:rsidRDefault="00706789" w:rsidP="008C49A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Merriam an</w:t>
      </w:r>
      <w:r>
        <w:rPr>
          <w:rFonts w:ascii="Times New Roman" w:hAnsi="Times New Roman" w:cs="Times New Roman"/>
        </w:rPr>
        <w:t xml:space="preserve">d </w:t>
      </w:r>
      <w:r w:rsidRPr="0097296D">
        <w:rPr>
          <w:rFonts w:ascii="Times New Roman" w:hAnsi="Times New Roman" w:cs="Times New Roman"/>
        </w:rPr>
        <w:t xml:space="preserve">Baumgartner, </w:t>
      </w:r>
      <w:r w:rsidRPr="0097296D">
        <w:rPr>
          <w:rFonts w:ascii="Times New Roman" w:hAnsi="Times New Roman" w:cs="Times New Roman"/>
          <w:i/>
          <w:iCs/>
        </w:rPr>
        <w:t>Learning in Adulthood</w:t>
      </w:r>
      <w:r>
        <w:rPr>
          <w:rFonts w:ascii="Times New Roman" w:hAnsi="Times New Roman" w:cs="Times New Roman"/>
        </w:rPr>
        <w:t>,</w:t>
      </w:r>
      <w:r w:rsidRPr="0097296D">
        <w:rPr>
          <w:rFonts w:ascii="Times New Roman" w:hAnsi="Times New Roman" w:cs="Times New Roman"/>
        </w:rPr>
        <w:t xml:space="preserve"> 400. </w:t>
      </w:r>
    </w:p>
    <w:p w14:paraId="2D4DC873" w14:textId="5C08C7BE" w:rsidR="00706789" w:rsidRPr="0097296D" w:rsidRDefault="00706789">
      <w:pPr>
        <w:pStyle w:val="EndnoteText"/>
        <w:rPr>
          <w:rFonts w:ascii="Times New Roman" w:hAnsi="Times New Roman" w:cs="Times New Roman"/>
        </w:rPr>
      </w:pPr>
    </w:p>
  </w:endnote>
  <w:endnote w:id="82">
    <w:p w14:paraId="6FEEF639" w14:textId="770DD3A3" w:rsidR="00706789" w:rsidRPr="0097296D" w:rsidRDefault="00706789" w:rsidP="00656351">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{"citationID":"AcMBRdfU","properties":{"formattedCitation":"Sue Caton and Melanie Chapman, \\uc0\\u8220{}The Use of Social Media and People with Intellectual Disability: A Systematic Review and Thematic Analysis.,\\uc0\\u8221{} {\\i{}Journal of Intellectual &amp; Developmental Disability} 41, no. 2 (June 2016): 125\\uc0\\u8211{}139.","plainCitation":"Sue Caton and Melanie Chapman, “The Use of Social Media and People with Intellectual Disability: A Systematic Review and Thematic Analysis.,” Journal of Intellectual &amp; Developmental Disability 41, no. 2 (June 2016): 125–139.","noteIndex":71},"citationItems":[{"id":1774,"uris":["http://zotero.org/users/6986165/items/Z86VK4QG"],"uri":["http://zotero.org/users/6986165/items/Z86VK4QG"],"itemData":{"id":1774,"type":"article-journal","abstract":"BackgroundIn this paper we present a systematic review of the evidence on the use of social media by people with intellectual disability. MethodTen primary studies published in the English language between January 2000 and June 2014 were identified from electronic database searches (CINAHL, PsychInfo, PubMed, Web of Knowledge, and Scopus), correspondence with experts, and citation tracking. ResultsNine themes were identified through thematic analysis of the texts: “safety and safeguarding,” “social identity,” “level of usage,” “support,” “relationships,” “happiness and enjoyment,” “communication and literacy skills,” “cyber-language and cyber-etiquette,” and “accessibility/design”. ConclusionExamination of these themes revealed that some people with intellectual disability are having positive experiences using social media in terms of friendships, development of social identity and self-esteem, and enjoyment. However, barriers that stop people with intellectual disability from successfully accessing social media were identified as being safeguarding concerns, difficulties caused by literacy and communication skills, cyber-language, cyber-etiquette, and accessibility (including lack of appropriate equipment). [ABSTRACT FROM PUBLISHER]","archive":"Psychology and Behavioral Sciences Collection","container-title":"Journal of Intellectual &amp; Developmental Disability","ISSN":"13668250","issue":"2","journalAbbreviation":"Journal of Intellectual &amp; Developmental Disability","note":"publisher: Taylor &amp; Francis Ltd","page":"125-139","source":"EBSCOhost","title":"The use of social media and people with intellectual disability: A systematic review and thematic analysis.","volume":"41","author":[{"family":"Caton","given":"Sue"},{"family":"Chapman","given":"Melanie"}],"issued":{"date-parts":[["2016",6]]}}}],"schema":"https://github.com/citation-style-language/schema/raw/master/csl-citation.json"}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Sue Caton and Melanie Chapman, “The Use of Social Media and People with Intellectual Disability: A Systematic Review and Thematic Analysis.,” </w:t>
      </w:r>
      <w:r w:rsidRPr="0097296D">
        <w:rPr>
          <w:rFonts w:ascii="Times New Roman" w:hAnsi="Times New Roman" w:cs="Times New Roman"/>
          <w:i/>
          <w:iCs/>
        </w:rPr>
        <w:t>Journal of Intellectual &amp; Developmental Disability</w:t>
      </w:r>
      <w:r w:rsidRPr="0097296D">
        <w:rPr>
          <w:rFonts w:ascii="Times New Roman" w:hAnsi="Times New Roman" w:cs="Times New Roman"/>
        </w:rPr>
        <w:t xml:space="preserve"> 41, no. 2 (June 2016): 125–139.</w:t>
      </w:r>
      <w:r w:rsidRPr="0097296D">
        <w:rPr>
          <w:rFonts w:ascii="Times New Roman" w:hAnsi="Times New Roman" w:cs="Times New Roman"/>
        </w:rPr>
        <w:fldChar w:fldCharType="end"/>
      </w:r>
      <w:r w:rsidRPr="0097296D">
        <w:rPr>
          <w:rFonts w:ascii="Times New Roman" w:hAnsi="Times New Roman" w:cs="Times New Roman"/>
        </w:rPr>
        <w:t xml:space="preserve">  </w:t>
      </w:r>
    </w:p>
    <w:p w14:paraId="5D1A962D" w14:textId="77777777" w:rsidR="00706789" w:rsidRPr="0097296D" w:rsidRDefault="00706789" w:rsidP="00656351">
      <w:pPr>
        <w:pStyle w:val="EndnoteText"/>
        <w:ind w:firstLine="720"/>
        <w:rPr>
          <w:rFonts w:ascii="Times New Roman" w:hAnsi="Times New Roman" w:cs="Times New Roman"/>
        </w:rPr>
      </w:pPr>
    </w:p>
  </w:endnote>
  <w:endnote w:id="83">
    <w:p w14:paraId="39731773" w14:textId="77777777" w:rsidR="00706789" w:rsidRPr="00BC7F9E" w:rsidRDefault="00706789" w:rsidP="00BC7F9E">
      <w:pPr>
        <w:pStyle w:val="EndnoteText"/>
        <w:ind w:firstLine="720"/>
        <w:rPr>
          <w:rFonts w:ascii="Times New Roman" w:hAnsi="Times New Roman" w:cs="Times New Roman"/>
          <w:highlight w:val="yellow"/>
        </w:rPr>
      </w:pPr>
      <w:r w:rsidRPr="008A0A9E">
        <w:rPr>
          <w:rStyle w:val="EndnoteReference"/>
          <w:rFonts w:ascii="Times New Roman" w:hAnsi="Times New Roman" w:cs="Times New Roman"/>
        </w:rPr>
        <w:endnoteRef/>
      </w:r>
      <w:r w:rsidRPr="008A0A9E">
        <w:rPr>
          <w:rFonts w:ascii="Times New Roman" w:hAnsi="Times New Roman" w:cs="Times New Roman"/>
        </w:rPr>
        <w:t xml:space="preserve"> Consuelo M. Kreider, Roxanna M. Bendixen, and Barbara J. Lutz, “Holistic Needs of University Students with Invisible Disabilities: A Qualitative Study,” </w:t>
      </w:r>
      <w:r w:rsidRPr="008A0A9E">
        <w:rPr>
          <w:rFonts w:ascii="Times New Roman" w:hAnsi="Times New Roman" w:cs="Times New Roman"/>
          <w:i/>
          <w:iCs/>
        </w:rPr>
        <w:t xml:space="preserve">Physical &amp; Occupational Therapy </w:t>
      </w:r>
      <w:r w:rsidRPr="008A0A9E">
        <w:rPr>
          <w:rFonts w:ascii="Times New Roman" w:hAnsi="Times New Roman" w:cs="Times New Roman"/>
          <w:i/>
          <w:iCs/>
        </w:rPr>
        <w:t>In Pediatrics</w:t>
      </w:r>
      <w:r w:rsidRPr="008A0A9E">
        <w:rPr>
          <w:rFonts w:ascii="Times New Roman" w:hAnsi="Times New Roman" w:cs="Times New Roman"/>
        </w:rPr>
        <w:t xml:space="preserve"> 35, no. 4 (October 2, 2015): 426–441.</w:t>
      </w:r>
    </w:p>
    <w:p w14:paraId="397D9B97" w14:textId="77777777" w:rsidR="00706789" w:rsidRDefault="00706789">
      <w:pPr>
        <w:pStyle w:val="EndnoteText"/>
      </w:pPr>
    </w:p>
  </w:endnote>
  <w:endnote w:id="84">
    <w:p w14:paraId="238614AB" w14:textId="1DBF4A13" w:rsidR="00706789" w:rsidRPr="0097296D" w:rsidRDefault="00706789" w:rsidP="00AA7FA7">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Caton and Chapman, “The Use of Social Media</w:t>
      </w:r>
      <w:r>
        <w:rPr>
          <w:rFonts w:ascii="Times New Roman" w:hAnsi="Times New Roman" w:cs="Times New Roman"/>
        </w:rPr>
        <w:t>,</w:t>
      </w:r>
      <w:r w:rsidRPr="0097296D">
        <w:rPr>
          <w:rFonts w:ascii="Times New Roman" w:hAnsi="Times New Roman" w:cs="Times New Roman"/>
        </w:rPr>
        <w:t xml:space="preserve">” </w:t>
      </w:r>
      <w:r w:rsidR="008A0A9E">
        <w:rPr>
          <w:rFonts w:ascii="Times New Roman" w:hAnsi="Times New Roman" w:cs="Times New Roman"/>
        </w:rPr>
        <w:t>126.</w:t>
      </w:r>
    </w:p>
    <w:p w14:paraId="18003BA0" w14:textId="77777777" w:rsidR="00706789" w:rsidRPr="0097296D" w:rsidRDefault="00706789" w:rsidP="00AA7FA7">
      <w:pPr>
        <w:pStyle w:val="EndnoteText"/>
        <w:ind w:firstLine="720"/>
        <w:rPr>
          <w:rFonts w:ascii="Times New Roman" w:hAnsi="Times New Roman" w:cs="Times New Roman"/>
        </w:rPr>
      </w:pPr>
    </w:p>
  </w:endnote>
  <w:endnote w:id="85">
    <w:p w14:paraId="671B3556" w14:textId="7285EC65" w:rsidR="00706789" w:rsidRPr="0097296D" w:rsidRDefault="00706789" w:rsidP="00C028D6">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{"citationID":"k46TEOCZ","properties":{"formattedCitation":"Faggella-Luby et al., \\uc0\\u8220{}Learning Strategy Instruction for College Students with Disabilities: A Systematic Review of the Literature.\\uc0\\u8221{}","plainCitation":"Faggella-Luby et al., “Learning Strategy Instruction for College Students with Disabilities: A Systematic Review of the Literature.”","noteIndex":73},"citationItems":[{"id":1911,"uris":["http://zotero.org/users/6986165/items/R7J7776I"],"uri":["http://zotero.org/users/6986165/items/R7J7776I"],"itemData":{"id":1911,"type":"article-journal","abstract":"The growing number of individuals with disabilities in higher education is a sign of significant progress toward improving outcomes and equity as intended by federal legislation. However, to successfully meet the demands of the postsecondary environment, students must act as self-regulated, independent learners. Thus, instruction for students with disabilities in learning strategies may be necessary to actualize improved outcomes. The current systematic review analyzes a subset of 21 empirical articles on learning strategy instruction in higher education for students with disabilities spanning 1955-2015 as organized by the PASS Taxonomy (Dukes, Madaus, Faggella-Luby, Lombardi, &amp; Gelbar, 2017). Results confirm there is a paucity of research, as we identified only 21 intervention studies examining learning strategies (11 single case and 10 group-design studies) in higher education during the period studied. Findings are presented related to characteristics of the study corpus, types of learning strategies emphasized, instructional delivery context, settings, interventionist, fidelity, measures, and outcomes. Special emphasis is placed on group design studies.","archive":"ERIC","archive_location":"Association on Higher Education and Disability. 107 Commerce Center Drive Suite 204, Huntersville, NC 28078. Tel: 704-947-7779; Fax: 704-948-7779; e-mail: ahead@ahead.org; Web site: http://www.ahead.org/publications/jped","container-title":"Journal of Postsecondary Education and Disability","ISSN":"2379-7762","issue":"1","journalAbbreviation":"Journal of Postsecondary Education and Disability","note":"publisher: Journal of Postsecondary Education and Disability","page":"63-81","source":"EBSCOhost","title":"Learning Strategy Instruction for College Students with Disabilities: A Systematic Review of the Literature","volume":"32","author":[{"family":"Faggella-Luby","given":"Michael"},{"family":"Gelbar","given":"Nicholas"},{"family":"Dukes","given":"Lyman","suffix":"III"},{"family":"Madaus","given":"Joseph"},{"family":"Lalor","given":"Adam"},{"family":"Lombardi","given":"Allison"}],"issued":{"date-parts":[["2019",1,1]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Faggella-Luby et al., “Learning Strategy Instruction for College Students with Disabilities: A Systematic Review of the Literature</w:t>
      </w:r>
      <w:r>
        <w:rPr>
          <w:rFonts w:ascii="Times New Roman" w:hAnsi="Times New Roman" w:cs="Times New Roman"/>
        </w:rPr>
        <w:t>,</w:t>
      </w:r>
      <w:r w:rsidRPr="0097296D">
        <w:rPr>
          <w:rFonts w:ascii="Times New Roman" w:hAnsi="Times New Roman" w:cs="Times New Roman"/>
        </w:rPr>
        <w:t>”</w:t>
      </w:r>
      <w:r w:rsidRPr="0097296D">
        <w:rPr>
          <w:rFonts w:ascii="Times New Roman" w:hAnsi="Times New Roman" w:cs="Times New Roman"/>
        </w:rPr>
        <w:fldChar w:fldCharType="end"/>
      </w:r>
      <w:r w:rsidRPr="0097296D">
        <w:rPr>
          <w:rFonts w:ascii="Times New Roman" w:hAnsi="Times New Roman" w:cs="Times New Roman"/>
        </w:rPr>
        <w:t xml:space="preserve"> 71.</w:t>
      </w:r>
    </w:p>
    <w:p w14:paraId="76FF427A" w14:textId="77777777" w:rsidR="00706789" w:rsidRPr="0097296D" w:rsidRDefault="00706789" w:rsidP="00C028D6">
      <w:pPr>
        <w:pStyle w:val="EndnoteText"/>
        <w:ind w:firstLine="720"/>
        <w:rPr>
          <w:rFonts w:ascii="Times New Roman" w:hAnsi="Times New Roman" w:cs="Times New Roman"/>
        </w:rPr>
      </w:pPr>
    </w:p>
  </w:endnote>
  <w:endnote w:id="86">
    <w:p w14:paraId="287EA208" w14:textId="0AE05F74" w:rsidR="00706789" w:rsidRPr="0097296D" w:rsidRDefault="00706789" w:rsidP="00134D8B">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{"citationID":"CGbDmh95","properties":{"formattedCitation":"Terras, Anderson, and Grave, \\uc0\\u8220{}Comparing Disability Accommodations in Online Courses: A Cross-Classification.\\uc0\\u8221{}","plainCitation":"Terras, Anderson, and Grave, “Comparing Disability Accommodations in Online Courses: A Cross-Classification.”","noteIndex":74},"citationItems":[{"id":1806,"uris":["http://zotero.org/users/6986165/items/SQH2SKK7"],"uri":["http://zotero.org/users/6986165/items/SQH2SKK7"],"itemData":{"id":1806,"type":"article-journal","abstract":"This study shares similarities and differences in the experiences of graduate students with disabilities receiving accommodations in online courses based on their disability classifications. Data were collected using semistructured interviews and analyzed to identify core ideas through constant comparison, and propositions were formulated according to disability classification. The results indicated that all the participants were self-accommodated in online courses and were successful. The participants with ADHD were most impacted by their disability while those with visual impairments and chronic health impairments appeared least impacted in the online learning environment. Individualized, inclusive approaches for accommodating students in online programs are critical to supporting the development of the learner.","archive":"ERIC","archive_location":"Journal of Educators Online. Grand Canyon University, 23300 West Camelback Road, Phoenix, AZ 85017. e-mail: CIRT@gcu.edu. Web site: https://www.thejeo.com","container-title":"Journal of Educators Online","ISSN":"1547-500X","issue":"2","journalAbbreviation":"Journal of Educators Online","note":"publisher: Journal of Educators Online","source":"EBSCOhost","title":"Comparing Disability Accommodations in Online Courses: A Cross-Classification","URL":"http://aaron.swbts.edu/login?url=https://search.ebscohost.com/login.aspx?direct=true&amp;db=eric&amp;AN=EJ1268737&amp;site=eds-live","volume":"17","author":[{"family":"Terras","given":"Katherine"},{"family":"Anderson","given":"Sarah"},{"family":"Grave","given":"Shannon"}],"issued":{"date-parts":[["2020",7,1]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Terras, Anderson, and Grave, “Comparing Disability Accommodations in Online Courses: A Cross-Classification</w:t>
      </w:r>
      <w:r>
        <w:rPr>
          <w:rFonts w:ascii="Times New Roman" w:hAnsi="Times New Roman" w:cs="Times New Roman"/>
        </w:rPr>
        <w:t>,</w:t>
      </w:r>
      <w:r w:rsidRPr="0097296D">
        <w:rPr>
          <w:rFonts w:ascii="Times New Roman" w:hAnsi="Times New Roman" w:cs="Times New Roman"/>
        </w:rPr>
        <w:t>”</w:t>
      </w:r>
      <w:r w:rsidRPr="0097296D">
        <w:rPr>
          <w:rFonts w:ascii="Times New Roman" w:hAnsi="Times New Roman" w:cs="Times New Roman"/>
        </w:rPr>
        <w:fldChar w:fldCharType="end"/>
      </w:r>
      <w:r w:rsidRPr="0097296D">
        <w:rPr>
          <w:rFonts w:ascii="Times New Roman" w:hAnsi="Times New Roman" w:cs="Times New Roman"/>
        </w:rPr>
        <w:t xml:space="preserve"> 6. </w:t>
      </w:r>
    </w:p>
    <w:p w14:paraId="423FBDC4" w14:textId="77777777" w:rsidR="00706789" w:rsidRPr="0097296D" w:rsidRDefault="00706789" w:rsidP="00134D8B">
      <w:pPr>
        <w:pStyle w:val="EndnoteText"/>
        <w:ind w:firstLine="720"/>
        <w:rPr>
          <w:rFonts w:ascii="Times New Roman" w:hAnsi="Times New Roman" w:cs="Times New Roman"/>
        </w:rPr>
      </w:pPr>
    </w:p>
  </w:endnote>
  <w:endnote w:id="87">
    <w:p w14:paraId="2BC81153" w14:textId="0D4402F6" w:rsidR="00706789" w:rsidRPr="0097296D" w:rsidRDefault="00706789" w:rsidP="009353A9">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{"citationID":"CGbDmh95","properties":{"formattedCitation":"Terras, Anderson, and Grave, \\uc0\\u8220{}Comparing Disability Accommodations in Online Courses: A Cross-Classification.\\uc0\\u8221{}","plainCitation":"Terras, Anderson, and Grave, “Comparing Disability Accommodations in Online Courses: A Cross-Classification.”","noteIndex":74},"citationItems":[{"id":1806,"uris":["http://zotero.org/users/6986165/items/SQH2SKK7"],"uri":["http://zotero.org/users/6986165/items/SQH2SKK7"],"itemData":{"id":1806,"type":"article-journal","abstract":"This study shares similarities and differences in the experiences of graduate students with disabilities receiving accommodations in online courses based on their disability classifications. Data were collected using semistructured interviews and analyzed to identify core ideas through constant comparison, and propositions were formulated according to disability classification. The results indicated that all the participants were self-accommodated in online courses and were successful. The participants with ADHD were most impacted by their disability while those with visual impairments and chronic health impairments appeared least impacted in the online learning environment. Individualized, inclusive approaches for accommodating students in online programs are critical to supporting the development of the learner.","archive":"ERIC","archive_location":"Journal of Educators Online. Grand Canyon University, 23300 West Camelback Road, Phoenix, AZ 85017. e-mail: CIRT@gcu.edu. Web site: https://www.thejeo.com","container-title":"Journal of Educators Online","ISSN":"1547-500X","issue":"2","journalAbbreviation":"Journal of Educators Online","note":"publisher: Journal of Educators Online","source":"EBSCOhost","title":"Comparing Disability Accommodations in Online Courses: A Cross-Classification","URL":"http://aaron.swbts.edu/login?url=https://search.ebscohost.com/login.aspx?direct=true&amp;db=eric&amp;AN=EJ1268737&amp;site=eds-live","volume":"17","author":[{"family":"Terras","given":"Katherine"},{"family":"Anderson","given":"Sarah"},{"family":"Grave","given":"Shannon"}],"issued":{"date-parts":[["2020",7,1]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Terras, Anderson, and Grave, “Comparing Disability Accommodations in Online Courses: A Cross-Classification</w:t>
      </w:r>
      <w:r>
        <w:rPr>
          <w:rFonts w:ascii="Times New Roman" w:hAnsi="Times New Roman" w:cs="Times New Roman"/>
        </w:rPr>
        <w:t>,</w:t>
      </w:r>
      <w:r w:rsidRPr="0097296D">
        <w:rPr>
          <w:rFonts w:ascii="Times New Roman" w:hAnsi="Times New Roman" w:cs="Times New Roman"/>
        </w:rPr>
        <w:t>”</w:t>
      </w:r>
      <w:r w:rsidRPr="0097296D">
        <w:rPr>
          <w:rFonts w:ascii="Times New Roman" w:hAnsi="Times New Roman" w:cs="Times New Roman"/>
        </w:rPr>
        <w:fldChar w:fldCharType="end"/>
      </w:r>
      <w:r>
        <w:rPr>
          <w:rFonts w:ascii="Times New Roman" w:hAnsi="Times New Roman" w:cs="Times New Roman"/>
        </w:rPr>
        <w:t xml:space="preserve"> </w:t>
      </w:r>
      <w:r w:rsidRPr="0097296D">
        <w:rPr>
          <w:rFonts w:ascii="Times New Roman" w:hAnsi="Times New Roman" w:cs="Times New Roman"/>
        </w:rPr>
        <w:t xml:space="preserve">7. </w:t>
      </w:r>
    </w:p>
    <w:p w14:paraId="0CA7DA8F" w14:textId="77777777" w:rsidR="00706789" w:rsidRPr="0097296D" w:rsidRDefault="00706789" w:rsidP="009353A9">
      <w:pPr>
        <w:pStyle w:val="EndnoteText"/>
        <w:ind w:firstLine="720"/>
        <w:rPr>
          <w:rFonts w:ascii="Times New Roman" w:hAnsi="Times New Roman" w:cs="Times New Roman"/>
        </w:rPr>
      </w:pPr>
    </w:p>
  </w:endnote>
  <w:endnote w:id="88">
    <w:p w14:paraId="71F1CE62" w14:textId="57F7259B" w:rsidR="00706789" w:rsidRPr="008A0A9E" w:rsidRDefault="00706789" w:rsidP="008A0A9E">
      <w:pPr>
        <w:ind w:firstLine="720"/>
        <w:rPr>
          <w:sz w:val="20"/>
          <w:szCs w:val="20"/>
        </w:rPr>
      </w:pPr>
      <w:r w:rsidRPr="008A0A9E">
        <w:rPr>
          <w:rStyle w:val="EndnoteReference"/>
          <w:sz w:val="20"/>
          <w:szCs w:val="20"/>
        </w:rPr>
        <w:endnoteRef/>
      </w:r>
      <w:r w:rsidRPr="008A0A9E">
        <w:rPr>
          <w:sz w:val="20"/>
          <w:szCs w:val="20"/>
        </w:rPr>
        <w:t xml:space="preserve"> Stefania </w:t>
      </w:r>
      <w:r w:rsidRPr="008A0A9E">
        <w:rPr>
          <w:sz w:val="20"/>
          <w:szCs w:val="20"/>
        </w:rPr>
        <w:t xml:space="preserve">Cataudella et al., “Psychological Aspects of Students </w:t>
      </w:r>
      <w:r w:rsidRPr="008A0A9E">
        <w:rPr>
          <w:sz w:val="20"/>
          <w:szCs w:val="20"/>
        </w:rPr>
        <w:t xml:space="preserve">With Learning Disabilities in E-Environments: A Mini Review and Future Research Directions.,” </w:t>
      </w:r>
      <w:r w:rsidRPr="008A0A9E">
        <w:rPr>
          <w:i/>
          <w:iCs/>
          <w:sz w:val="20"/>
          <w:szCs w:val="20"/>
        </w:rPr>
        <w:t>Frontiers in Psychology</w:t>
      </w:r>
      <w:r w:rsidRPr="008A0A9E">
        <w:rPr>
          <w:sz w:val="20"/>
          <w:szCs w:val="20"/>
        </w:rPr>
        <w:t xml:space="preserve"> 11 (January 7, 2021): 12-13. </w:t>
      </w:r>
    </w:p>
    <w:p w14:paraId="56DAFA0D" w14:textId="77777777" w:rsidR="00706789" w:rsidRDefault="00706789">
      <w:pPr>
        <w:pStyle w:val="EndnoteText"/>
      </w:pPr>
    </w:p>
  </w:endnote>
  <w:endnote w:id="89">
    <w:p w14:paraId="1B5C53E1" w14:textId="424040BA" w:rsidR="00706789" w:rsidRPr="0097296D" w:rsidRDefault="00706789" w:rsidP="00AC5BE3">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{"citationID":"URx33tve","properties":{"formattedCitation":"Joseph W. Madaus et al., \\uc0\\u8220{}Online and Blended Learning: The Advantages and the Challenges for Students with Learning Disabilities and Attention Deficit/Hyperactivity Disorder,\\uc0\\u8221{} {\\i{}Learning Disabilities: A Multidisciplinary Journal} 17, no. 2 (January 1, 2011): 69\\uc0\\u8211{}76.","plainCitation":"Joseph W. Madaus et al., “Online and Blended Learning: The Advantages and the Challenges for Students with Learning Disabilities and Attention Deficit/Hyperactivity Disorder,” Learning Disabilities: A Multidisciplinary Journal 17, no. 2 (January 1, 2011): 69–76.","noteIndex":76},"citationItems":[{"id":1826,"uris":["http://zotero.org/users/6986165/items/3SFAZRGX"],"uri":["http://zotero.org/users/6986165/items/3SFAZRGX"],"itemData":{"id":1826,"type":"article-journal","abstract":"As students with learning disabilities and attention deficit/hyperactivity disorder (ADHD) participate in postsecondary education, they are likely to encounter a new learning medium that will need to be mastered--online and blended courses. Although many college-aged students have grown up using the Internet and other information technologies, online and blended courses place different demands on students. However, such courses can also present new opportunities and advantages. This article presents an initial look at the highlights of interviews with 10 (n = 10) university students with learning disabilities and ADHD who were enrolled in online or blended courses. Advantages and challenges to learning in these media are discussed from the students' perspective. (Contains 2 tables.)","archive":"ERIC","archive_location":"Learning Disabilities Association of America. 4156 Library Road, Pittsburgh, PA 15234. Tel: 412-341-1515; Fax: 412-344-0224; e-mail: info@ldaamerica.org; Web site: http://www.ldaamerica.org","container-title":"Learning Disabilities: A Multidisciplinary Journal","ISSN":"1046-6819","issue":"2","journalAbbreviation":"Learning Disabilities: A Multidisciplinary Journal","note":"publisher: Learning Disabilities: A Multidisciplinary Journal","page":"69-76","source":"EBSCOhost","title":"Online and Blended Learning: The Advantages and the Challenges for Students with Learning Disabilities and Attention Deficit/Hyperactivity Disorder","volume":"17","author":[{"family":"Madaus","given":"Joseph W."},{"family":"Banerjee","given":"Manju"},{"family":"McKeown","given":"Kimberly"},{"family":"Gelbar","given":"Nicholas"}],"issued":{"date-parts":[["2011",1,1]]}}}],"schema":"https://github.com/citation-style-language/schema/raw/master/csl-citation.json"}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Madaus et al., “Online and Blended Learning: The Advantages and the Challenges for Students with Learning Disabilities and Attention Deficit/Hyperactivity Disorder,”</w:t>
      </w:r>
      <w:r>
        <w:rPr>
          <w:rFonts w:ascii="Times New Roman" w:hAnsi="Times New Roman" w:cs="Times New Roman"/>
        </w:rPr>
        <w:t xml:space="preserve">. </w:t>
      </w:r>
      <w:r w:rsidRPr="0097296D">
        <w:rPr>
          <w:rFonts w:ascii="Times New Roman" w:hAnsi="Times New Roman" w:cs="Times New Roman"/>
        </w:rPr>
        <w:t>69–76.</w:t>
      </w:r>
      <w:r w:rsidRPr="0097296D">
        <w:rPr>
          <w:rFonts w:ascii="Times New Roman" w:hAnsi="Times New Roman" w:cs="Times New Roman"/>
        </w:rPr>
        <w:fldChar w:fldCharType="end"/>
      </w:r>
    </w:p>
  </w:endnote>
  <w:endnote w:id="90">
    <w:p w14:paraId="10839F44" w14:textId="77777777" w:rsidR="00706789" w:rsidRPr="0097296D" w:rsidRDefault="00706789" w:rsidP="005E7548">
      <w:pPr>
        <w:pStyle w:val="EndnoteText"/>
        <w:ind w:firstLine="720"/>
        <w:rPr>
          <w:rFonts w:ascii="Times New Roman" w:hAnsi="Times New Roman" w:cs="Times New Roman"/>
        </w:rPr>
      </w:pPr>
    </w:p>
    <w:p w14:paraId="4BDFCA1E" w14:textId="54697984" w:rsidR="00706789" w:rsidRPr="0097296D" w:rsidRDefault="00706789" w:rsidP="005E7548">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Kent, Disability and </w:t>
      </w:r>
      <w:r w:rsidRPr="0097296D">
        <w:rPr>
          <w:rFonts w:ascii="Times New Roman" w:hAnsi="Times New Roman" w:cs="Times New Roman"/>
        </w:rPr>
        <w:t xml:space="preserve">ELearning: Opportunities and Barriers., 4–6. </w:t>
      </w:r>
    </w:p>
    <w:p w14:paraId="26A0B0C0" w14:textId="77777777" w:rsidR="00706789" w:rsidRPr="0097296D" w:rsidRDefault="00706789" w:rsidP="005E7548">
      <w:pPr>
        <w:pStyle w:val="EndnoteText"/>
        <w:ind w:firstLine="720"/>
        <w:rPr>
          <w:rFonts w:ascii="Times New Roman" w:hAnsi="Times New Roman" w:cs="Times New Roman"/>
        </w:rPr>
      </w:pPr>
    </w:p>
  </w:endnote>
  <w:endnote w:id="91">
    <w:p w14:paraId="46424CCC" w14:textId="73796561" w:rsidR="00706789" w:rsidRPr="0097296D" w:rsidRDefault="00706789" w:rsidP="00AA518A">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{"citationID":"j5TE7DM5","properties":{"formattedCitation":"Budd et al., \\uc0\\u8220{}Postsecondary Students with Specific Learning Disabilities and with Attention Deficit Hyperactivity Disorder Should Not Be Considered as a Unified Group for Research or Practice.\\uc0\\u8221{}","plainCitation":"Budd et al., “Postsecondary Students with Specific Learning Disabilities and with Attention Deficit Hyperactivity Disorder Should Not Be Considered as a Unified Group for Research or Practice.”","noteIndex":78},"citationItems":[{"id":1828,"uris":["http://zotero.org/users/6986165/items/CBF8I3IX"],"uri":["http://zotero.org/users/6986165/items/CBF8I3IX"],"itemData":{"id":1828,"type":"article-journal","abstract":"Objective: To examine similarities and differences among college/university students with ADHD, LD, and comorbid ADHD and LD on variables related to academic performance. Method: Students who self-reported ADHD (n = 42), LD (n = 72), or comorbid ADHD and LD (n = 42), completed an online questionnaire which evaluated grades, parental education, course and social self-efficacy, and personal and school related obstacles and facilitators. Results: Students with ADHD (with or without comorbidity) reported the worst grades, personal situations (e.g., study habits, personal motivation), and course-related self-efficacy (e.g., time management, keeping up-to-date with school work). The single exception was that students with ADHD had more confidence in understanding textbooks than students with LD. Comorbid ADHD and LD sometimes led to worse outcomes than LD or ADHD alone. Conclusion: The common practice of combining all three groups, \"LD and/or ADHD\", should be avoided. Suggestions are made about what could be done to help students with ADHD.","archive":"ERIC","archive_location":"Redfame Publishing Inc. 9450 SW Gemini Drive #99416, Beaverton, OR 97008. Tel: 503-828-0536 ext. 503; Fax: 503-828-0537; e-mail: jets@redfame.com; Web site: http://jets.redfame.com","container-title":"Journal of Education and Training Studies","ISSN":"2324-805X","issue":"4","journalAbbreviation":"Journal of Education and Training Studies","note":"publisher: Journal of Education and Training Studies","page":"206-216","source":"EBSCOhost","title":"Postsecondary Students with Specific Learning Disabilities and with Attention Deficit Hyperactivity Disorder Should Not Be Considered as a Unified Group for Research or Practice","volume":"4","author":[{"family":"Budd","given":"Jillian"},{"family":"Fichten","given":"Catherine S."},{"family":"Jorgensen","given":"Mary"},{"family":"Havel","given":"Alice"},{"family":"Flanagan","given":"Tara"}],"issued":{"date-parts":[["2016",4,1]]}}}],"schema":"https://github.com/citation-style-language/schema/raw/master/csl-citation.json"}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Budd et al., “Postsecondary Students with Specific Learning Disabilities and with Attention Deficit Hyperactivity Disorder Should Not Be Considered as a Unified Group for Research or Practice.”</w:t>
      </w:r>
      <w:r w:rsidRPr="0097296D">
        <w:rPr>
          <w:rFonts w:ascii="Times New Roman" w:hAnsi="Times New Roman" w:cs="Times New Roman"/>
        </w:rPr>
        <w:fldChar w:fldCharType="end"/>
      </w:r>
      <w:r w:rsidRPr="0097296D">
        <w:rPr>
          <w:rFonts w:ascii="Times New Roman" w:hAnsi="Times New Roman" w:cs="Times New Roman"/>
        </w:rPr>
        <w:t xml:space="preserve"> 4</w:t>
      </w:r>
    </w:p>
    <w:p w14:paraId="2ADDC736" w14:textId="77777777" w:rsidR="00706789" w:rsidRPr="0097296D" w:rsidRDefault="00706789" w:rsidP="00AA518A">
      <w:pPr>
        <w:pStyle w:val="EndnoteText"/>
        <w:ind w:firstLine="720"/>
        <w:rPr>
          <w:rFonts w:ascii="Times New Roman" w:hAnsi="Times New Roman" w:cs="Times New Roman"/>
        </w:rPr>
      </w:pPr>
    </w:p>
  </w:endnote>
  <w:endnote w:id="92">
    <w:p w14:paraId="17FB78A9" w14:textId="5E3DB8C7" w:rsidR="00706789" w:rsidRPr="008A0A9E" w:rsidRDefault="00706789" w:rsidP="008A0A9E">
      <w:pPr>
        <w:pStyle w:val="EndnoteText"/>
        <w:ind w:firstLine="720"/>
        <w:rPr>
          <w:rFonts w:ascii="Times New Roman" w:hAnsi="Times New Roman" w:cs="Times New Roman"/>
        </w:rPr>
      </w:pPr>
      <w:r w:rsidRPr="00B036D5">
        <w:rPr>
          <w:rStyle w:val="EndnoteReference"/>
          <w:rFonts w:ascii="Times New Roman" w:hAnsi="Times New Roman" w:cs="Times New Roman"/>
        </w:rPr>
        <w:endnoteRef/>
      </w:r>
      <w:r w:rsidRPr="00B036D5">
        <w:rPr>
          <w:rFonts w:ascii="Times New Roman" w:hAnsi="Times New Roman" w:cs="Times New Roman"/>
        </w:rPr>
        <w:t xml:space="preserve"> </w:t>
      </w:r>
      <w:r w:rsidR="00B83E3E" w:rsidRPr="0097296D">
        <w:rPr>
          <w:rFonts w:ascii="Times New Roman" w:hAnsi="Times New Roman" w:cs="Times New Roman"/>
        </w:rPr>
        <w:fldChar w:fldCharType="begin"/>
      </w:r>
      <w:r w:rsidR="00B83E3E" w:rsidRPr="0097296D">
        <w:rPr>
          <w:rFonts w:ascii="Times New Roman" w:hAnsi="Times New Roman" w:cs="Times New Roman"/>
        </w:rPr>
        <w:instrText xml:space="preserve"> ADDIN ZOTERO_ITEM CSL_CITATION {"citationID":"5M1d3BEA","properties":{"formattedCitation":"Daniel P. Hallahan, Louis C. Danielson, and Renee Bradley, {\\i{}Identification of Learning Disabilities\\uc0\\u8239{}: Research to Practice.}, The LEA series on special education and disability (L. Erlbaum Publishers, 2002), http://aaron.swbts.edu/login?url=https://search.ebscohost.com/login.aspx?direct=true&amp;db=cat03589a&amp;AN=swbts.b1869234&amp;site=eds-live.","plainCitation":"Daniel P. Hallahan, Louis C. Danielson, and Renee Bradley, Identification of Learning Disabilities : Research to Practice., The LEA series on special education and disability (L. Erlbaum Publishers, 2002), http://aaron.swbts.edu/login?url=https://search.ebscohost.com/login.aspx?direct=true&amp;db=cat03589a&amp;AN=swbts.b1869234&amp;site=eds-live.","noteIndex":49},"citationItems":[{"id":1978,"uris":["http://zotero.org/users/6986165/items/XGL49HHT"],"uri":["http://zotero.org/users/6986165/items/XGL49HHT"],"itemData":{"id":1978,"type":"book","archive":"Southwestern Baptist Theological Seminary Catalog","archive_location":"SWBTS Internet","collection-title":"The LEA series on special education and disability","publisher":"L. Erlbaum Publishers","source":"EBSCOhost","title":"Identification of learning disabilities : research to practice.","URL":"http://aaron.swbts.edu/login?url=https://search.ebscohost.com/login.aspx?direct=true&amp;db=cat03589a&amp;AN=swbts.b1869234&amp;site=eds-live","author":[{"family":"Hallahan","given":"Daniel P."},{"family":"Danielson","given":"Louis C."},{"family":"Bradley","given":"Renee"}],"issued":{"date-parts":[["2002"]]}}}],"schema":"https://github.com/citation-style-language/schema/raw/master/csl-citation.json"} </w:instrText>
      </w:r>
      <w:r w:rsidR="00B83E3E" w:rsidRPr="0097296D">
        <w:rPr>
          <w:rFonts w:ascii="Times New Roman" w:hAnsi="Times New Roman" w:cs="Times New Roman"/>
        </w:rPr>
        <w:fldChar w:fldCharType="separate"/>
      </w:r>
      <w:r w:rsidR="00B83E3E" w:rsidRPr="0097296D">
        <w:rPr>
          <w:rFonts w:ascii="Times New Roman" w:hAnsi="Times New Roman" w:cs="Times New Roman"/>
        </w:rPr>
        <w:t xml:space="preserve">Hallahan, Danielson, Bradley, </w:t>
      </w:r>
      <w:r w:rsidR="00B83E3E" w:rsidRPr="0097296D">
        <w:rPr>
          <w:rFonts w:ascii="Times New Roman" w:hAnsi="Times New Roman" w:cs="Times New Roman"/>
          <w:i/>
          <w:iCs/>
        </w:rPr>
        <w:t>Identification of Learning Disabilities</w:t>
      </w:r>
      <w:r w:rsidR="00B83E3E" w:rsidRPr="0097296D">
        <w:rPr>
          <w:rFonts w:ascii="Times New Roman" w:hAnsi="Times New Roman" w:cs="Times New Roman"/>
        </w:rPr>
        <w:t xml:space="preserve">, </w:t>
      </w:r>
      <w:r w:rsidR="00B83E3E" w:rsidRPr="0097296D">
        <w:rPr>
          <w:rFonts w:ascii="Times New Roman" w:hAnsi="Times New Roman" w:cs="Times New Roman"/>
        </w:rPr>
        <w:fldChar w:fldCharType="end"/>
      </w:r>
      <w:r w:rsidR="00B83E3E" w:rsidRPr="00561CAD">
        <w:rPr>
          <w:rFonts w:ascii="Times New Roman" w:hAnsi="Times New Roman" w:cs="Times New Roman"/>
        </w:rPr>
        <w:t>570</w:t>
      </w:r>
      <w:r w:rsidR="00B83E3E">
        <w:rPr>
          <w:rFonts w:ascii="Times New Roman" w:hAnsi="Times New Roman" w:cs="Times New Roman"/>
        </w:rPr>
        <w:t>-571.</w:t>
      </w:r>
    </w:p>
    <w:p w14:paraId="7FAB2F5D" w14:textId="77777777" w:rsidR="00706789" w:rsidRDefault="00706789">
      <w:pPr>
        <w:pStyle w:val="EndnoteText"/>
      </w:pPr>
    </w:p>
  </w:endnote>
  <w:endnote w:id="93">
    <w:p w14:paraId="4CB79FC9" w14:textId="63F66371" w:rsidR="00706789" w:rsidRPr="0097296D" w:rsidRDefault="00706789" w:rsidP="00F1052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{"citationID":"bC0fmWkV","properties":{"formattedCitation":"Eddy, \\uc0\\u8220{}A Survey Study of College Students with Disabilities and Their Involvement in the IEP/Transition Planning Process\\uc0\\u8221{}; HADLEY, \\uc0\\u8220{}STUDENTS WITH LEARNING DISABILITIES TRANSITIONING FROM COLLEGE: A ONE-YEAR STUDY.\\uc0\\u8221{}; Madaus, \\uc0\\u8220{}Navigating the College Transition Maze: A Guide for Students With Learning Disabilities.\\uc0\\u8221{}; Morningstar and Shoemaker, \\uc0\\u8220{}Options and Skills Necessary for Navigating a Successful Transition to Postsecondary Education.\\uc0\\u8221{}","plainCitation":"Eddy, “A Survey Study of College Students with Disabilities and Their Involvement in the IEP/Transition Planning Process”; HADLEY, “STUDENTS WITH LEARNING DISABILITIES TRANSITIONING FROM COLLEGE: A ONE-YEAR STUDY.”; Madaus, “Navigating the College Transition Maze: A Guide for Students With Learning Disabilities.”; Morningstar and Shoemaker, “Options and Skills Necessary for Navigating a Successful Transition to Postsecondary Education.”","noteIndex":79},"citationItems":[{"id":2079,"uris":["http://zotero.org/users/6986165/items/MKBFWMAC"],"uri":["http://zotero.org/users/6986165/items/MKBFWMAC"],"itemData":{"id":2079,"type":"thesis","abstract":"Educating students with disabilities gained national attention in 1975 with the passage of Public Law 94-142 the Education of All Handicapped Children Act. This law provided students with disabilities with equal access to the same free and appropriate education as students without disabilities, and mandated that schools provide students with disabilities with an individualized education program (IEP) to meet their academic goals. Beginning in the 1980's, researchers and policymakers (Halpern, 1985; Will, 1984) became concerned that students with disabilities were not making a successful transition to higher education or to adulthood. One post-school outcome where there has been a continuing discrepancy between students with and students without disabilities has been graduation rates from postsecondary educational settings (i.e., colleges and universities).    Researchers have noted that self-determination skills are important for students to succeed in college (Brinckerhoff, 1993; Stodden, 2000). Ward (1988) indicated that people with disabilities should have the opportunity to make life decisions for themselves. With the reauthorization of PL 94-142 as the Individuals with Disabilities Education Act (IDEA) in 1990, educators and policymakers began to examine ways for students to participate in planning for their transitions from school to adult life. Because of the increased focus on transition and self-determination, researchers focused on how to get students more involved in their IEP/transition planning.    With the convergence of attention on transition, self-determination, and post-school outcomes, including postsecondary education outcomes, a question emerges as to what degree students with disabilities who transition to college or university settings after high school demonstrate self-determination skills in postsecondary education settings? Do students who are taught self-determination skills in high school generalize those skills to postsecondary education settings? A primary approach to promoting self-determination skills is through teaching students to participate in their IEP/transition planning in high school (Test, Mason, Hughes, Konrad, Neale, &amp;amp; Wood, 2004), but there has been limited research on the relationship between participating in IEP/transition planning and self-determination in college. Therefore, the purposes of this study were to determine (a) how undergraduate college students with disabilities learned self-determination skills, (b) whether they reported themselves to be self-determined in college, and (c) whether a relationship exists between students participating in IEP/transition planning in high school and their self-reporting of being self-determined in their postsecondary education settings.    Results suggested that participating in IEP/transition planning does have a positive relationship with the perceived self-determination of college students with disabilities. This means students reported that participating in IEP/transition planning helped them be self-determined in college. Results suggested a continuing need to encourage students to participate in their IEP/transition planning. Ideas for future research and implications for practice regarding self-determination in both high school and college are discussed.","archive":"ProQuest Dissertations &amp; Theses Global: The Humanities and Social Sciences Collection","archive_location":"790157142","event-place":"Ann Arbor","genre":"Ph.D.","language":"English","note":"ISBN: 978-1-124-29923-5\ncontainer-title: ProQuest Dissertations and Theses\n3430486","number-of-pages":"168","publisher":"The University of North Carolina at Charlotte","publisher-place":"Ann Arbor","title":"A survey study of college students with disabilities and their involvement in the IEP/transition planning process","URL":"http://aaron.swbts.edu/login?url=https://www.proquest.com/dissertations-theses/survey-study-college-students-with-disabilities/docview/790157142/se-2?accountid=7073","author":[{"family":"Eddy","given":"Steve Eugene"}],"issued":{"date-parts":[["2010"]]}}},{"id":1889,"uris":["http://zotero.org/users/6986165/items/XVL9L8SM"],"uri":["http://zotero.org/users/6986165/items/XVL9L8SM"],"itemData":{"id":1889,"type":"article-journal","abstract":"Students with learning disabilities (LD) transitioning to colleges and universities continues to rise. This research is from the shared experiences of 10 students with learning disabilities during their junior and senior years as they prepared to graduate and transition from college. Over the course of an academic year, students shared stories of their academic adjustments in the college environment through the lens of student development theory by participating in focus group and semi-structured individual interviews. Hadley's (2009) updated version of Chickering and Reisser's (1993) and Chickering's (1969) stages of developing purpose and establishing integrity that focuses on the experiences of students with learning disabilities provides the perspective of the students' reported experiences and views. Developing purpose assess how the student conceptualizes and prioritizes their career goals. Establishing integrity examines how the student's beliefs and values guide their career plans and goals (Hadley. 2009: Chickering &amp; Reisser. 1993; and Chickering. 1969). [ABSTRACT FROM AUTHOR]","archive":"Academic Search Complete","container-title":"College Student Journal","ISSN":"01463934","issue":"4","journalAbbreviation":"College Student Journal","note":"publisher: Project Innovation, Inc.","page":"421-430","source":"EBSCOhost","title":"STUDENTS WITH LEARNING DISABILITIES TRANSITIONING FROM COLLEGE: A ONE-YEAR STUDY.","volume":"52","author":[{"family":"HADLEY","given":"WANDA"}],"issued":{"date-parts":[["2018"]]}}},{"id":1887,"uris":["http://zotero.org/users/6986165/items/Y8GRJ9F9"],"uri":["http://zotero.org/users/6986165/items/Y8GRJ9F9"],"itemData":{"id":1887,"type":"article-journal","abstract":"Presents a guide for students with learning disabilities making the college transition. Challenges students face when transitioning to college; Move from the familiar model of special education services at the high school level to very different services at the college level; Changes in the scope of special education services for college students; Questions and misconceptions about postsecondary disability services; Basic support services provided by most special higher education institutions.","archive":"Academic Search Complete","container-title":"Teaching Exceptional Children","ISSN":"00400599","issue":"3","journalAbbreviation":"Teaching Exceptional Children","note":"publisher: Sage Publications Inc.","page":"32-37","source":"EBSCOhost","title":"Navigating the College Transition Maze: A Guide for Students With Learning Disabilities.","volume":"37","author":[{"family":"Madaus","given":"Joseph W."}],"issued":{"date-parts":[["2005",2,1]]}}},{"id":1903,"uris":["http://zotero.org/users/6986165/items/L8AJVC99"],"uri":["http://zotero.org/users/6986165/items/L8AJVC99"],"itemData":{"id":1903,"type":"article-journal","abstract":"This chapter describes several essential skills necessary for success in postsecondary education (PSE) for young adults with disabilities and provides a variety of models of support available to students with disabilities as they transition into PSE. [ABSTRACT FROM AUTHOR]","archive":"Academic Search Complete","container-title":"New Directions for Adult &amp; Continuing Education","ISSN":"10522891","issue":"160","journalAbbreviation":"New Directions for Adult &amp; Continuing Education","note":"publisher: John Wiley &amp; Sons, Inc.","page":"39-51","source":"EBSCOhost","title":"Options and Skills Necessary for Navigating a Successful Transition to Postsecondary Education.","volume":"2018","author":[{"family":"Morningstar","given":"Mary E."},{"family":"Shoemaker","given":"Andrew"}],"issued":{"date-parts":[["2018"]]}}}],"schema":"https://github.com/citation-style-language/schema/raw/master/csl-citation.json"}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Eddy, “A Survey Study of College Students with Disabilities and Their Involvement in the IEP/Transition Planning Process”; H</w:t>
      </w:r>
      <w:r>
        <w:rPr>
          <w:rFonts w:ascii="Times New Roman" w:hAnsi="Times New Roman" w:cs="Times New Roman"/>
        </w:rPr>
        <w:t>adley</w:t>
      </w:r>
      <w:r w:rsidRPr="0097296D">
        <w:rPr>
          <w:rFonts w:ascii="Times New Roman" w:hAnsi="Times New Roman" w:cs="Times New Roman"/>
        </w:rPr>
        <w:t>, “S</w:t>
      </w:r>
      <w:r>
        <w:rPr>
          <w:rFonts w:ascii="Times New Roman" w:hAnsi="Times New Roman" w:cs="Times New Roman"/>
        </w:rPr>
        <w:t>tudents</w:t>
      </w:r>
      <w:r w:rsidRPr="0097296D">
        <w:rPr>
          <w:rFonts w:ascii="Times New Roman" w:hAnsi="Times New Roman" w:cs="Times New Roman"/>
        </w:rPr>
        <w:t xml:space="preserve"> </w:t>
      </w:r>
      <w:r>
        <w:rPr>
          <w:rFonts w:ascii="Times New Roman" w:hAnsi="Times New Roman" w:cs="Times New Roman"/>
        </w:rPr>
        <w:t>with</w:t>
      </w:r>
      <w:r w:rsidRPr="0097296D">
        <w:rPr>
          <w:rFonts w:ascii="Times New Roman" w:hAnsi="Times New Roman" w:cs="Times New Roman"/>
        </w:rPr>
        <w:t xml:space="preserve"> L</w:t>
      </w:r>
      <w:r>
        <w:rPr>
          <w:rFonts w:ascii="Times New Roman" w:hAnsi="Times New Roman" w:cs="Times New Roman"/>
        </w:rPr>
        <w:t>earning</w:t>
      </w:r>
      <w:r w:rsidRPr="0097296D">
        <w:rPr>
          <w:rFonts w:ascii="Times New Roman" w:hAnsi="Times New Roman" w:cs="Times New Roman"/>
        </w:rPr>
        <w:t xml:space="preserve"> D</w:t>
      </w:r>
      <w:r>
        <w:rPr>
          <w:rFonts w:ascii="Times New Roman" w:hAnsi="Times New Roman" w:cs="Times New Roman"/>
        </w:rPr>
        <w:t>isabilities</w:t>
      </w:r>
      <w:r w:rsidRPr="0097296D">
        <w:rPr>
          <w:rFonts w:ascii="Times New Roman" w:hAnsi="Times New Roman" w:cs="Times New Roman"/>
        </w:rPr>
        <w:t xml:space="preserve"> T</w:t>
      </w:r>
      <w:r>
        <w:rPr>
          <w:rFonts w:ascii="Times New Roman" w:hAnsi="Times New Roman" w:cs="Times New Roman"/>
        </w:rPr>
        <w:t>ransitioning</w:t>
      </w:r>
      <w:r w:rsidRPr="0097296D">
        <w:rPr>
          <w:rFonts w:ascii="Times New Roman" w:hAnsi="Times New Roman" w:cs="Times New Roman"/>
        </w:rPr>
        <w:t xml:space="preserve"> </w:t>
      </w:r>
      <w:r>
        <w:rPr>
          <w:rFonts w:ascii="Times New Roman" w:hAnsi="Times New Roman" w:cs="Times New Roman"/>
        </w:rPr>
        <w:t>from</w:t>
      </w:r>
      <w:r w:rsidRPr="0097296D">
        <w:rPr>
          <w:rFonts w:ascii="Times New Roman" w:hAnsi="Times New Roman" w:cs="Times New Roman"/>
        </w:rPr>
        <w:t xml:space="preserve"> C</w:t>
      </w:r>
      <w:r>
        <w:rPr>
          <w:rFonts w:ascii="Times New Roman" w:hAnsi="Times New Roman" w:cs="Times New Roman"/>
        </w:rPr>
        <w:t>ollege</w:t>
      </w:r>
      <w:r w:rsidRPr="0097296D">
        <w:rPr>
          <w:rFonts w:ascii="Times New Roman" w:hAnsi="Times New Roman" w:cs="Times New Roman"/>
        </w:rPr>
        <w:t>: A O</w:t>
      </w:r>
      <w:r>
        <w:rPr>
          <w:rFonts w:ascii="Times New Roman" w:hAnsi="Times New Roman" w:cs="Times New Roman"/>
        </w:rPr>
        <w:t>ne</w:t>
      </w:r>
      <w:r w:rsidRPr="0097296D">
        <w:rPr>
          <w:rFonts w:ascii="Times New Roman" w:hAnsi="Times New Roman" w:cs="Times New Roman"/>
        </w:rPr>
        <w:t>-Y</w:t>
      </w:r>
      <w:r>
        <w:rPr>
          <w:rFonts w:ascii="Times New Roman" w:hAnsi="Times New Roman" w:cs="Times New Roman"/>
        </w:rPr>
        <w:t>ear</w:t>
      </w:r>
      <w:r w:rsidRPr="0097296D">
        <w:rPr>
          <w:rFonts w:ascii="Times New Roman" w:hAnsi="Times New Roman" w:cs="Times New Roman"/>
        </w:rPr>
        <w:t xml:space="preserve"> S</w:t>
      </w:r>
      <w:r>
        <w:rPr>
          <w:rFonts w:ascii="Times New Roman" w:hAnsi="Times New Roman" w:cs="Times New Roman"/>
        </w:rPr>
        <w:t>tudy</w:t>
      </w:r>
      <w:r w:rsidRPr="0097296D">
        <w:rPr>
          <w:rFonts w:ascii="Times New Roman" w:hAnsi="Times New Roman" w:cs="Times New Roman"/>
        </w:rPr>
        <w:t>.”; Madaus, “Navigating the College Transition Maze: A Guide for Students With Learning Disabilities.”; Morningstar and Shoemaker, “Options and Skills Necessary for Navigating a Successful Transition to Postsecondary Education.”</w:t>
      </w:r>
      <w:r w:rsidRPr="0097296D">
        <w:rPr>
          <w:rFonts w:ascii="Times New Roman" w:hAnsi="Times New Roman" w:cs="Times New Roman"/>
        </w:rPr>
        <w:fldChar w:fldCharType="end"/>
      </w:r>
      <w:r w:rsidRPr="0097296D">
        <w:rPr>
          <w:rFonts w:ascii="Times New Roman" w:hAnsi="Times New Roman" w:cs="Times New Roman"/>
        </w:rPr>
        <w:t xml:space="preserve"> </w:t>
      </w:r>
    </w:p>
    <w:p w14:paraId="69C8AEF8" w14:textId="77777777" w:rsidR="00706789" w:rsidRPr="0097296D" w:rsidRDefault="00706789" w:rsidP="00F10522">
      <w:pPr>
        <w:pStyle w:val="EndnoteText"/>
        <w:ind w:firstLine="720"/>
        <w:rPr>
          <w:rFonts w:ascii="Times New Roman" w:hAnsi="Times New Roman" w:cs="Times New Roman"/>
        </w:rPr>
      </w:pPr>
    </w:p>
  </w:endnote>
  <w:endnote w:id="94">
    <w:p w14:paraId="58EB8D32" w14:textId="136E2A2D" w:rsidR="00706789" w:rsidRPr="0097296D" w:rsidRDefault="00706789" w:rsidP="006A4AC8">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{"citationID":"K5DU9F5W","properties":{"formattedCitation":"Peter A. Cowden, \\uc0\\u8220{}PREPARING COLLEGE STUDENTS WITH MODERATE LEARNING DISABILITIES WITH THE TOOLS FOR HIGHER LEVEL SUCCESS.,\\uc0\\u8221{} {\\i{}College Student Journal} 44, no. 2 (June 2010): 230\\uc0\\u8211{}233.","plainCitation":"Peter A. Cowden, “PREPARING COLLEGE STUDENTS WITH MODERATE LEARNING DISABILITIES WITH THE TOOLS FOR HIGHER LEVEL SUCCESS.,” College Student Journal 44, no. 2 (June 2010): 230–233.","noteIndex":80},"citationItems":[{"id":2292,"uris":["http://zotero.org/users/6986165/items/MJVYL88V"],"uri":["http://zotero.org/users/6986165/items/MJVYL88V"],"itemData":{"id":2292,"type":"article-journal","abstract":"The ability to learn is an important life skill. It is a critical skill for participation in all aspects of life, including school, work, and the community. It is a major key to accessing knowledge, gaining independence, and exercising life choices. Many people believe that individuals with moderate disabilities cannot learn how to read. They think that reading is too complicated and requires high levels of language and cognitive ability that individuals with moderate disabilities do not possess. However, research about reading has begun to provide evidence that students with moderate disabilities can be taught reading skills. Five essential components of reading instruction for beginning readers are identified: phonemic awareness, phonics, fluency, vocabulary, and text comprehension. All of these components are crucial for students to learn in the beginning reading stages, whether the student has a disability or not. [ABSTRACT FROM AUTHOR]","archive":"Academic Search Complete","container-title":"College Student Journal","ISSN":"01463934","issue":"2","journalAbbreviation":"College Student Journal","note":"publisher: Project Innovation, Inc.","page":"230-233","source":"EBSCOhost","title":"PREPARING COLLEGE STUDENTS WITH MODERATE LEARNING DISABILITIES WITH THE TOOLS FOR HIGHER LEVEL SUCCESS.","volume":"44","author":[{"family":"Cowden","given":"Peter A."}],"issued":{"date-parts":[["2010",6]]}}}],"schema":"https://github.com/citation-style-language/schema/raw/master/csl-citation.json"}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Peter A. Cowden, “P</w:t>
      </w:r>
      <w:r>
        <w:rPr>
          <w:rFonts w:ascii="Times New Roman" w:hAnsi="Times New Roman" w:cs="Times New Roman"/>
        </w:rPr>
        <w:t>reparing</w:t>
      </w:r>
      <w:r w:rsidRPr="0097296D">
        <w:rPr>
          <w:rFonts w:ascii="Times New Roman" w:hAnsi="Times New Roman" w:cs="Times New Roman"/>
        </w:rPr>
        <w:t xml:space="preserve"> C</w:t>
      </w:r>
      <w:r>
        <w:rPr>
          <w:rFonts w:ascii="Times New Roman" w:hAnsi="Times New Roman" w:cs="Times New Roman"/>
        </w:rPr>
        <w:t>ollege</w:t>
      </w:r>
      <w:r w:rsidRPr="0097296D">
        <w:rPr>
          <w:rFonts w:ascii="Times New Roman" w:hAnsi="Times New Roman" w:cs="Times New Roman"/>
        </w:rPr>
        <w:t xml:space="preserve"> S</w:t>
      </w:r>
      <w:r>
        <w:rPr>
          <w:rFonts w:ascii="Times New Roman" w:hAnsi="Times New Roman" w:cs="Times New Roman"/>
        </w:rPr>
        <w:t>tudents</w:t>
      </w:r>
      <w:r w:rsidRPr="0097296D">
        <w:rPr>
          <w:rFonts w:ascii="Times New Roman" w:hAnsi="Times New Roman" w:cs="Times New Roman"/>
        </w:rPr>
        <w:t xml:space="preserve"> </w:t>
      </w:r>
      <w:r>
        <w:rPr>
          <w:rFonts w:ascii="Times New Roman" w:hAnsi="Times New Roman" w:cs="Times New Roman"/>
        </w:rPr>
        <w:t>with</w:t>
      </w:r>
      <w:r w:rsidRPr="0097296D">
        <w:rPr>
          <w:rFonts w:ascii="Times New Roman" w:hAnsi="Times New Roman" w:cs="Times New Roman"/>
        </w:rPr>
        <w:t xml:space="preserve"> M</w:t>
      </w:r>
      <w:r>
        <w:rPr>
          <w:rFonts w:ascii="Times New Roman" w:hAnsi="Times New Roman" w:cs="Times New Roman"/>
        </w:rPr>
        <w:t>oderate</w:t>
      </w:r>
      <w:r w:rsidRPr="0097296D">
        <w:rPr>
          <w:rFonts w:ascii="Times New Roman" w:hAnsi="Times New Roman" w:cs="Times New Roman"/>
        </w:rPr>
        <w:t xml:space="preserve"> L</w:t>
      </w:r>
      <w:r>
        <w:rPr>
          <w:rFonts w:ascii="Times New Roman" w:hAnsi="Times New Roman" w:cs="Times New Roman"/>
        </w:rPr>
        <w:t>earning</w:t>
      </w:r>
      <w:r w:rsidRPr="0097296D">
        <w:rPr>
          <w:rFonts w:ascii="Times New Roman" w:hAnsi="Times New Roman" w:cs="Times New Roman"/>
        </w:rPr>
        <w:t xml:space="preserve"> D</w:t>
      </w:r>
      <w:r>
        <w:rPr>
          <w:rFonts w:ascii="Times New Roman" w:hAnsi="Times New Roman" w:cs="Times New Roman"/>
        </w:rPr>
        <w:t>isabilities</w:t>
      </w:r>
      <w:r w:rsidRPr="0097296D">
        <w:rPr>
          <w:rFonts w:ascii="Times New Roman" w:hAnsi="Times New Roman" w:cs="Times New Roman"/>
        </w:rPr>
        <w:t xml:space="preserve"> W</w:t>
      </w:r>
      <w:r>
        <w:rPr>
          <w:rFonts w:ascii="Times New Roman" w:hAnsi="Times New Roman" w:cs="Times New Roman"/>
        </w:rPr>
        <w:t>ith</w:t>
      </w:r>
      <w:r w:rsidRPr="0097296D">
        <w:rPr>
          <w:rFonts w:ascii="Times New Roman" w:hAnsi="Times New Roman" w:cs="Times New Roman"/>
        </w:rPr>
        <w:t xml:space="preserve"> </w:t>
      </w:r>
      <w:r>
        <w:rPr>
          <w:rFonts w:ascii="Times New Roman" w:hAnsi="Times New Roman" w:cs="Times New Roman"/>
        </w:rPr>
        <w:t>the</w:t>
      </w:r>
      <w:r w:rsidRPr="0097296D">
        <w:rPr>
          <w:rFonts w:ascii="Times New Roman" w:hAnsi="Times New Roman" w:cs="Times New Roman"/>
        </w:rPr>
        <w:t xml:space="preserve"> T</w:t>
      </w:r>
      <w:r>
        <w:rPr>
          <w:rFonts w:ascii="Times New Roman" w:hAnsi="Times New Roman" w:cs="Times New Roman"/>
        </w:rPr>
        <w:t>ools</w:t>
      </w:r>
      <w:r w:rsidRPr="0097296D">
        <w:rPr>
          <w:rFonts w:ascii="Times New Roman" w:hAnsi="Times New Roman" w:cs="Times New Roman"/>
        </w:rPr>
        <w:t xml:space="preserve"> </w:t>
      </w:r>
      <w:r>
        <w:rPr>
          <w:rFonts w:ascii="Times New Roman" w:hAnsi="Times New Roman" w:cs="Times New Roman"/>
        </w:rPr>
        <w:t>for</w:t>
      </w:r>
      <w:r w:rsidRPr="0097296D">
        <w:rPr>
          <w:rFonts w:ascii="Times New Roman" w:hAnsi="Times New Roman" w:cs="Times New Roman"/>
        </w:rPr>
        <w:t xml:space="preserve"> H</w:t>
      </w:r>
      <w:r>
        <w:rPr>
          <w:rFonts w:ascii="Times New Roman" w:hAnsi="Times New Roman" w:cs="Times New Roman"/>
        </w:rPr>
        <w:t>igher</w:t>
      </w:r>
      <w:r w:rsidRPr="0097296D">
        <w:rPr>
          <w:rFonts w:ascii="Times New Roman" w:hAnsi="Times New Roman" w:cs="Times New Roman"/>
        </w:rPr>
        <w:t xml:space="preserve"> L</w:t>
      </w:r>
      <w:r>
        <w:rPr>
          <w:rFonts w:ascii="Times New Roman" w:hAnsi="Times New Roman" w:cs="Times New Roman"/>
        </w:rPr>
        <w:t>evel</w:t>
      </w:r>
      <w:r w:rsidRPr="0097296D">
        <w:rPr>
          <w:rFonts w:ascii="Times New Roman" w:hAnsi="Times New Roman" w:cs="Times New Roman"/>
        </w:rPr>
        <w:t xml:space="preserve"> S</w:t>
      </w:r>
      <w:r>
        <w:rPr>
          <w:rFonts w:ascii="Times New Roman" w:hAnsi="Times New Roman" w:cs="Times New Roman"/>
        </w:rPr>
        <w:t>uccess</w:t>
      </w:r>
      <w:r w:rsidRPr="0097296D">
        <w:rPr>
          <w:rFonts w:ascii="Times New Roman" w:hAnsi="Times New Roman" w:cs="Times New Roman"/>
        </w:rPr>
        <w:t xml:space="preserve">,” </w:t>
      </w:r>
      <w:r w:rsidRPr="0097296D">
        <w:rPr>
          <w:rFonts w:ascii="Times New Roman" w:hAnsi="Times New Roman" w:cs="Times New Roman"/>
          <w:i/>
          <w:iCs/>
        </w:rPr>
        <w:t>College Student Journal</w:t>
      </w:r>
      <w:r w:rsidRPr="0097296D">
        <w:rPr>
          <w:rFonts w:ascii="Times New Roman" w:hAnsi="Times New Roman" w:cs="Times New Roman"/>
        </w:rPr>
        <w:t xml:space="preserve"> 44, no. 2 (June 2010): 230–233.</w:t>
      </w:r>
      <w:r w:rsidRPr="0097296D">
        <w:rPr>
          <w:rFonts w:ascii="Times New Roman" w:hAnsi="Times New Roman" w:cs="Times New Roman"/>
        </w:rPr>
        <w:fldChar w:fldCharType="end"/>
      </w:r>
    </w:p>
    <w:p w14:paraId="612097D1" w14:textId="77777777" w:rsidR="00706789" w:rsidRPr="0097296D" w:rsidRDefault="00706789" w:rsidP="006A4AC8">
      <w:pPr>
        <w:pStyle w:val="EndnoteText"/>
        <w:ind w:firstLine="720"/>
        <w:rPr>
          <w:rFonts w:ascii="Times New Roman" w:hAnsi="Times New Roman" w:cs="Times New Roman"/>
        </w:rPr>
      </w:pPr>
    </w:p>
  </w:endnote>
  <w:endnote w:id="95">
    <w:p w14:paraId="32EC4BA3" w14:textId="4E99236A" w:rsidR="00706789" w:rsidRPr="0097296D" w:rsidRDefault="00706789" w:rsidP="002F5DA0">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{"citationID":"VgEjCNcm","properties":{"formattedCitation":"Kelly Anne Mongiovi, \\uc0\\u8220{}Faculty Provisions of Accommodations for Students with Disabilities in Higher Education: An Analysis of Community College Faculty in the Traditional, Hybrid, and Online Mathematics Course Teaching Environments,\\uc0\\u8221{} {\\i{}ProQuest Dissertations and Theses} (Ph.D., University of Florida, 2012), http://aaron.swbts.edu/login?url=https://www.proquest.com/dissertations-theses/faculty-provisions-accommodations-students-with/docview/1369522078/se-2?accountid=7073.","plainCitation":"Kelly Anne Mongiovi, “Faculty Provisions of Accommodations for Students with Disabilities in Higher Education: An Analysis of Community College Faculty in the Traditional, Hybrid, and Online Mathematics Course Teaching Environments,” ProQuest Dissertations and Theses (Ph.D., University of Florida, 2012), http://aaron.swbts.edu/login?url=https://www.proquest.com/dissertations-theses/faculty-provisions-accommodations-students-with/docview/1369522078/se-2?accountid=7073.","noteIndex":81},"citationItems":[{"id":2097,"uris":["http://zotero.org/users/6986165/items/3692E2BQ"],"uri":["http://zotero.org/users/6986165/items/3692E2BQ"],"itemData":{"id":2097,"type":"thesis","abstract":"The purpose of this exploratory descriptive study was to examine the mathematics faculty provisions of accommodations for students with disabilities within a Florida Community College. Both developmental and college level mathematics courses were included in this study. This study examined courses taught in the traditional, hybrid, and online deliveries of instruction. Also, the type of instruction taught by the mathematics faculty was examined. Finally, the mitigating factors for providing reasonable accommodations to this particular student population were identified, and a possible intervention model for consideration is offered.    The sample population for this study consisted of mathematics faculty members within a Florida Community College as listed in the Crystal Reporting database as having taught developmental and/or college level mathematics in the 2009-2010 academic year (summer, fall, spring). As a result, 79 faculty responses were collected. In total, 34 participants completed the Mathematics Teaching Environments and Students with Disabilities Survey.    The survey results suggest that (a) the lack of item response from the mathematics faculty regarding the survey responses received are a limitation to the study, (b) the faculty attitudes and perceptions surveyed may impact how faculty teach students with disabilities, (c) both faculty populations display a barrier (i.e., disconnect) regarding the number of students who are self-identified as having disabilities and those numbers actually reported, and (d) the faculty responses received suggest training is a crucial component missing in addressing accommodations needs of students. Finally, the 5 C’s Model of dropping out (Repetto, Cavanaugh, Wayer, &amp;amp; Liu, 2010) is presented as a potential intervention model for students with disabilities in higher education.    This study illuminates an intervention model that should be considered. Additionally, the study suggests the faculty’s need for training regarding provisions of accommodations for students is necessary, regardless of the type of delivery of instruction utilized. With effective training, those working in administration, student affairs, and academic affairs can continue to \"close of the loop\" for students with disabilities, and at-risk students can be identified.","archive":"ProQuest Dissertations &amp; Theses Global: The Humanities and Social Sciences Collection","archive_location":"1369522078","event-place":"Ann Arbor","genre":"Ph.D.","language":"English","note":"ISBN: 978-1-303-07023-5\ncontainer-title: ProQuest Dissertations and Theses\n3569632","number-of-pages":"112","publisher":"University of Florida","publisher-place":"Ann Arbor","title":"Faculty provisions of accommodations for students with disabilities in higher education: An analysis of community college faculty in the traditional, hybrid, and online mathematics course teaching environments","URL":"http://aaron.swbts.edu/login?url=https://www.proquest.com/dissertations-theses/faculty-provisions-accommodations-students-with/docview/1369522078/se-2?accountid=7073","author":[{"family":"Mongiovi","given":"Kelly Anne"}],"issued":{"date-parts":[["2012"]]}}}],"schema":"https://github.com/citation-style-language/schema/raw/master/csl-citation.json"}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Kelly Anne Mongiovi, “Faculty Provisions of Accommodations for Students with Disabilities in Higher Education: An Analysis of Community College Faculty in the Traditional, Hybrid, and Online Mathematics Course Teaching Environments,” </w:t>
      </w:r>
      <w:r w:rsidRPr="0097296D">
        <w:rPr>
          <w:rFonts w:ascii="Times New Roman" w:hAnsi="Times New Roman" w:cs="Times New Roman"/>
          <w:i/>
          <w:iCs/>
        </w:rPr>
        <w:t>ProQuest Dissertations and Theses</w:t>
      </w:r>
      <w:r w:rsidRPr="0097296D">
        <w:rPr>
          <w:rFonts w:ascii="Times New Roman" w:hAnsi="Times New Roman" w:cs="Times New Roman"/>
        </w:rPr>
        <w:t xml:space="preserve"> (Ph.D., University of Florida, 2012).</w:t>
      </w:r>
      <w:r w:rsidRPr="0097296D">
        <w:rPr>
          <w:rFonts w:ascii="Times New Roman" w:hAnsi="Times New Roman" w:cs="Times New Roman"/>
        </w:rPr>
        <w:fldChar w:fldCharType="end"/>
      </w:r>
      <w:r w:rsidRPr="0097296D">
        <w:rPr>
          <w:rFonts w:ascii="Times New Roman" w:hAnsi="Times New Roman" w:cs="Times New Roman"/>
        </w:rPr>
        <w:t xml:space="preserve"> </w:t>
      </w:r>
    </w:p>
    <w:p w14:paraId="15EA82FD" w14:textId="30DD3FFB" w:rsidR="00706789" w:rsidRPr="0097296D" w:rsidRDefault="00706789" w:rsidP="002F5DA0">
      <w:pPr>
        <w:pStyle w:val="EndnoteText"/>
        <w:ind w:firstLine="720"/>
        <w:rPr>
          <w:rFonts w:ascii="Times New Roman" w:hAnsi="Times New Roman" w:cs="Times New Roman"/>
        </w:rPr>
      </w:pPr>
      <w:r w:rsidRPr="0097296D">
        <w:rPr>
          <w:rFonts w:ascii="Times New Roman" w:hAnsi="Times New Roman" w:cs="Times New Roman"/>
        </w:rPr>
        <w:t xml:space="preserve"> </w:t>
      </w:r>
    </w:p>
  </w:endnote>
  <w:endnote w:id="96">
    <w:p w14:paraId="6851F38A" w14:textId="738484BE" w:rsidR="00706789" w:rsidRPr="0097296D" w:rsidRDefault="00706789" w:rsidP="002A5C52">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{"citationID":"DaO99owI","properties":{"formattedCitation":"Terras, Anderson, and Grave, \\uc0\\u8220{}Comparing Disability Accommodations in Online Courses: A Cross-Classification.\\uc0\\u8221{}","plainCitation":"Terras, Anderson, and Grave, “Comparing Disability Accommodations in Online Courses: A Cross-Classification.”","noteIndex":82},"citationItems":[{"id":1806,"uris":["http://zotero.org/users/6986165/items/SQH2SKK7"],"uri":["http://zotero.org/users/6986165/items/SQH2SKK7"],"itemData":{"id":1806,"type":"article-journal","abstract":"This study shares similarities and differences in the experiences of graduate students with disabilities receiving accommodations in online courses based on their disability classifications. Data were collected using semistructured interviews and analyzed to identify core ideas through constant comparison, and propositions were formulated according to disability classification. The results indicated that all the participants were self-accommodated in online courses and were successful. The participants with ADHD were most impacted by their disability while those with visual impairments and chronic health impairments appeared least impacted in the online learning environment. Individualized, inclusive approaches for accommodating students in online programs are critical to supporting the development of the learner.","archive":"ERIC","archive_location":"Journal of Educators Online. Grand Canyon University, 23300 West Camelback Road, Phoenix, AZ 85017. e-mail: CIRT@gcu.edu. Web site: https://www.thejeo.com","container-title":"Journal of Educators Online","ISSN":"1547-500X","issue":"2","journalAbbreviation":"Journal of Educators Online","note":"publisher: Journal of Educators Online","source":"EBSCOhost","title":"Comparing Disability Accommodations in Online Courses: A Cross-Classification","URL":"http://aaron.swbts.edu/login?url=https://search.ebscohost.com/login.aspx?direct=true&amp;db=eric&amp;AN=EJ1268737&amp;site=eds-live","volume":"17","author":[{"family":"Terras","given":"Katherine"},{"family":"Anderson","given":"Sarah"},{"family":"Grave","given":"Shannon"}],"issued":{"date-parts":[["2020",7,1]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Terras, Anderson, and Grave, “Comparing Disability Accommodations in Online Courses: A Cross-Classification.”</w:t>
      </w:r>
      <w:r w:rsidRPr="0097296D">
        <w:rPr>
          <w:rFonts w:ascii="Times New Roman" w:hAnsi="Times New Roman" w:cs="Times New Roman"/>
        </w:rPr>
        <w:fldChar w:fldCharType="end"/>
      </w:r>
      <w:r w:rsidRPr="0097296D">
        <w:rPr>
          <w:rFonts w:ascii="Times New Roman" w:hAnsi="Times New Roman" w:cs="Times New Roman"/>
        </w:rPr>
        <w:t xml:space="preserve"> 7. </w:t>
      </w:r>
    </w:p>
    <w:p w14:paraId="63883E93" w14:textId="77777777" w:rsidR="00706789" w:rsidRPr="0097296D" w:rsidRDefault="00706789" w:rsidP="002A5C52">
      <w:pPr>
        <w:pStyle w:val="EndnoteText"/>
        <w:ind w:firstLine="720"/>
        <w:rPr>
          <w:rFonts w:ascii="Times New Roman" w:hAnsi="Times New Roman" w:cs="Times New Roman"/>
        </w:rPr>
      </w:pPr>
    </w:p>
  </w:endnote>
  <w:endnote w:id="97">
    <w:p w14:paraId="10AD1E72" w14:textId="798CB49C" w:rsidR="00706789" w:rsidRPr="0097296D" w:rsidRDefault="00706789" w:rsidP="007B24A9">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{"citationID":"CFlJ2rII","properties":{"formattedCitation":"Bastedo Kathleen and Vargas Jessica, \\uc0\\u8220{}Assistive Technology and Distance Learning:Making Content Accessible,\\uc0\\u8221{} {\\i{}Online Course Management: Concepts, Methodologies, Tools, and Applications} (January 1, 2018), http://aaron.swbts.edu/login?url=https://search.ebscohost.com/login.aspx?direct=true&amp;db=edscrc&amp;AN=edscrc.27439544&amp;site=eds-live; Joel Klemes et al., \\uc0\\u8220{}An Assistive Computerized Learning Environment for Distance Learning Students with Learning Disabilities.,\\uc0\\u8221{} {\\i{}Open Learning} 21, no. 1 (February 2006): 19\\uc0\\u8211{}32.","plainCitation":"Bastedo Kathleen and Vargas Jessica, “Assistive Technology and Distance Learning:Making Content Accessible,” Online Course Management: Concepts, Methodologies, Tools, and Applications (January 1, 2018), http://aaron.swbts.edu/login?url=https://search.ebscohost.com/login.aspx?direct=true&amp;db=edscrc&amp;AN=edscrc.27439544&amp;site=eds-live; Joel Klemes et al., “An Assistive Computerized Learning Environment for Distance Learning Students with Learning Disabilities.,” Open Learning 21, no. 1 (February 2006): 19–32.","noteIndex":85},"citationItems":[{"id":1506,"uris":["http://zotero.org/users/6986165/items/C3KYL9GB"],"uri":["http://zotero.org/users/6986165/items/C3KYL9GB"],"itemData":{"id":1506,"type":"article-journal","abstract":"ABSTRACT For those with disabilities, distance-learning courses can provide access to a world that was once inaccessible. Online learning becomes a possibility and for many a gateway to contributing to [...]","archive":"Credo Reference","container-title":"Online Course Management: Concepts, Methodologies, Tools, and Applications","ISSN":"1-5225-5472-6","journalAbbreviation":"Online Course Management: Concepts, Methodologies, Tools, and Applications","note":"publisher: IGI Global","source":"EBSCOhost","title":"Assistive Technology and Distance Learning:Making Content Accessible","URL":"http://aaron.swbts.edu/login?url=https://search.ebscohost.com/login.aspx?direct=true&amp;db=edscrc&amp;AN=edscrc.27439544&amp;site=eds-live","author":[{"literal":"Bastedo Kathleen"},{"literal":"Vargas Jessica"}],"issued":{"date-parts":[["2018",1,1]]}}},{"id":1551,"uris":["http://zotero.org/users/6986165/items/RP2629VV"],"uri":["http://zotero.org/users/6986165/items/RP2629VV"],"itemData":{"id":1551,"type":"article-journal","abstract":"The current study examines how a computerized learning environment assists students with learning disabilities (LD) enrolled in a distance learning course at the Open University of Israel. The technology provides computer display of the text, synchronized with auditory output and accompanied by additional computerized study skill tools which support learning. Since the technology is not based on language-specific synthetic voice output, it can be operated in any language. The results of the study suggest that the assistive technology tested in this study is highly beneficial to students with LD who are studying from a distance. The prospects of its implementation for students with LD in distance learning academic institutions, at a time when their number in these institutions is increasing, are discussed. [ABSTRACT FROM AUTHOR]","archive":"Professional Development Collection","container-title":"Open Learning","ISSN":"02680513","issue":"1","journalAbbreviation":"Open Learning","note":"publisher: Routledge","page":"19-32","source":"EBSCOhost","title":"An assistive computerized learning environment for distance learning students with learning disabilities.","volume":"21","author":[{"family":"Klemes","given":"Joel"},{"family":"Epstein","given":"Alit"},{"family":"Zuker","given":"Michal"},{"family":"Grinberg","given":"Nira"},{"family":"Ilovitch","given":"Tamar"}],"issued":{"date-parts":[["2006",2]]}}}],"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 Joel Klemes et al., “An Assistive Computerized Learning Environment for Distance Learning Students with Learning Disabilities.,” </w:t>
      </w:r>
      <w:r w:rsidRPr="0097296D">
        <w:rPr>
          <w:rFonts w:ascii="Times New Roman" w:hAnsi="Times New Roman" w:cs="Times New Roman"/>
          <w:i/>
          <w:iCs/>
        </w:rPr>
        <w:t>Open Learning</w:t>
      </w:r>
      <w:r w:rsidRPr="0097296D">
        <w:rPr>
          <w:rFonts w:ascii="Times New Roman" w:hAnsi="Times New Roman" w:cs="Times New Roman"/>
        </w:rPr>
        <w:t xml:space="preserve"> 21, no. 1 (February 2006): 19–32.</w:t>
      </w:r>
      <w:r w:rsidRPr="0097296D">
        <w:rPr>
          <w:rFonts w:ascii="Times New Roman" w:hAnsi="Times New Roman" w:cs="Times New Roman"/>
        </w:rPr>
        <w:fldChar w:fldCharType="end"/>
      </w:r>
      <w:r w:rsidRPr="0097296D">
        <w:rPr>
          <w:rFonts w:ascii="Times New Roman" w:hAnsi="Times New Roman" w:cs="Times New Roman"/>
        </w:rPr>
        <w:t xml:space="preserve"> </w:t>
      </w:r>
    </w:p>
    <w:p w14:paraId="4709B25F" w14:textId="77777777" w:rsidR="00706789" w:rsidRPr="0097296D" w:rsidRDefault="00706789" w:rsidP="007B24A9">
      <w:pPr>
        <w:pStyle w:val="EndnoteText"/>
        <w:ind w:firstLine="720"/>
        <w:rPr>
          <w:rFonts w:ascii="Times New Roman" w:hAnsi="Times New Roman" w:cs="Times New Roman"/>
        </w:rPr>
      </w:pPr>
    </w:p>
  </w:endnote>
  <w:endnote w:id="98">
    <w:p w14:paraId="390D2CCC" w14:textId="7A953099" w:rsidR="00706789" w:rsidRPr="0097296D" w:rsidRDefault="00706789" w:rsidP="00074B31">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{"citationID":"JMyCop3B","properties":{"formattedCitation":"Terras, Anderson, and Grave, \\uc0\\u8220{}Comparing Disability Accommodations in Online Courses: A Cross-Classification\\uc0\\u8221{}; Laura Graves et al., \\uc0\\u8220{}Asynchronous Online Access as an Accommodation on Students with Learning Disabilities and/or Attention-Deficit Hyperactivity Disorders in Postsecondary STEM Courses,\\uc0\\u8221{} {\\i{}Journal of Postsecondary Education and Disability} 24, no. 4 (January 1, 2011): 317\\uc0\\u8211{}330.","plainCitation":"Terras, Anderson, and Grave, “Comparing Disability Accommodations in Online Courses: A Cross-Classification”; Laura Graves et al., “Asynchronous Online Access as an Accommodation on Students with Learning Disabilities and/or Attention-Deficit Hyperactivity Disorders in Postsecondary STEM Courses,” Journal of Postsecondary Education and Disability 24, no. 4 (January 1, 2011): 317–330.","noteIndex":86},"citationItems":[{"id":1806,"uris":["http://zotero.org/users/6986165/items/SQH2SKK7"],"uri":["http://zotero.org/users/6986165/items/SQH2SKK7"],"itemData":{"id":1806,"type":"article-journal","abstract":"This study shares similarities and differences in the experiences of graduate students with disabilities receiving accommodations in online courses based on their disability classifications. Data were collected using semistructured interviews and analyzed to identify core ideas through constant comparison, and propositions were formulated according to disability classification. The results indicated that all the participants were self-accommodated in online courses and were successful. The participants with ADHD were most impacted by their disability while those with visual impairments and chronic health impairments appeared least impacted in the online learning environment. Individualized, inclusive approaches for accommodating students in online programs are critical to supporting the development of the learner.","archive":"ERIC","archive_location":"Journal of Educators Online. Grand Canyon University, 23300 West Camelback Road, Phoenix, AZ 85017. e-mail: CIRT@gcu.edu. Web site: https://www.thejeo.com","container-title":"Journal of Educators Online","ISSN":"1547-500X","issue":"2","journalAbbreviation":"Journal of Educators Online","note":"publisher: Journal of Educators Online","source":"EBSCOhost","title":"Comparing Disability Accommodations in Online Courses: A Cross-Classification","URL":"http://aaron.swbts.edu/login?url=https://search.ebscohost.com/login.aspx?direct=true&amp;db=eric&amp;AN=EJ1268737&amp;site=eds-live","volume":"17","author":[{"family":"Terras","given":"Katherine"},{"family":"Anderson","given":"Sarah"},{"family":"Grave","given":"Shannon"}],"issued":{"date-parts":[["2020",7,1]]}}},{"id":1561,"uris":["http://zotero.org/users/6986165/items/5U8ZXH8P"],"uri":["http://zotero.org/users/6986165/items/5U8ZXH8P"],"itemData":{"id":1561,"type":"article-journal","abstract":"The purpose of this study was to investigate whether asynchronous online access of course recordings was beneficial to students with learning disabilities (LD) and/or Attention Deficit/Hyperactivity Disorder (ADHD) enrolled in science, technology, engineering, and mathematics (STEM) courses. Data were collected through semi-structured interviews lasting 40 minutes. A total of 11 student participants with LD and/or ADHD were interviewed. Student participants were enrolled in math, biology, and chemistry courses that utilized asynchronous online access of digital recordings. Interview data were individually analyzed and compared through a cross-case analysis. Students reported that the use of asynchronous online access enhanced their learning experiences according to six themes: clarity, organization, asynchronous access, convenience, achievement, and disability coping mechanism. (Contains 1 table.)","archive":"ERIC","archive_location":"Association on Higher Education and Disability. 107 Commerce Center Drive Suite 204, Huntersville, NC 28078. Tel: 704-947-7779; Fax: 704-948-7779; e-mail: ahead@ahead.org; Web site: http://www.ahead.org/publications/jped","container-title":"Journal of Postsecondary Education and Disability","issue":"4","journalAbbreviation":"Journal of Postsecondary Education and Disability","note":"publisher: Journal of Postsecondary Education and Disability","page":"317-330","source":"EBSCOhost","title":"Asynchronous Online Access as an Accommodation on Students with Learning Disabilities and/or Attention-Deficit Hyperactivity Disorders in Postsecondary STEM Courses","volume":"24","author":[{"family":"Graves","given":"Laura"},{"family":"Asunda","given":"Paul A."},{"family":"Plant","given":"Stacey J."},{"family":"Goad","given":"Chester"}],"issued":{"date-parts":[["2011",1,1]]}}}],"schema":"https://github.com/citation-style-language/schema/raw/master/csl-citation.json"}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Terras, Anderson, and Grave, </w:t>
      </w:r>
      <w:r w:rsidR="007A54FC">
        <w:rPr>
          <w:rFonts w:ascii="Times New Roman" w:hAnsi="Times New Roman" w:cs="Times New Roman"/>
        </w:rPr>
        <w:t>"</w:t>
      </w:r>
      <w:r w:rsidRPr="0097296D">
        <w:rPr>
          <w:rFonts w:ascii="Times New Roman" w:hAnsi="Times New Roman" w:cs="Times New Roman"/>
        </w:rPr>
        <w:t>Comparing Disability Accommodations</w:t>
      </w:r>
      <w:r w:rsidR="007A54FC">
        <w:rPr>
          <w:rFonts w:ascii="Times New Roman" w:hAnsi="Times New Roman" w:cs="Times New Roman"/>
        </w:rPr>
        <w:t>," 9</w:t>
      </w:r>
      <w:r w:rsidRPr="0097296D">
        <w:rPr>
          <w:rFonts w:ascii="Times New Roman" w:hAnsi="Times New Roman" w:cs="Times New Roman"/>
        </w:rPr>
        <w:t xml:space="preserve">; Laura Graves et al., “Asynchronous Online Access as an Accommodation on Students with Learning Disabilities and/or Attention-Deficit Hyperactivity Disorders in Postsecondary STEM Courses,” </w:t>
      </w:r>
      <w:r w:rsidRPr="0097296D">
        <w:rPr>
          <w:rFonts w:ascii="Times New Roman" w:hAnsi="Times New Roman" w:cs="Times New Roman"/>
          <w:i/>
          <w:iCs/>
        </w:rPr>
        <w:t>Journal of Postsecondary Education and Disability</w:t>
      </w:r>
      <w:r w:rsidRPr="0097296D">
        <w:rPr>
          <w:rFonts w:ascii="Times New Roman" w:hAnsi="Times New Roman" w:cs="Times New Roman"/>
        </w:rPr>
        <w:t xml:space="preserve"> 24, no. 4 (January 1, 2011): 317–330.</w:t>
      </w:r>
      <w:r w:rsidRPr="0097296D">
        <w:rPr>
          <w:rFonts w:ascii="Times New Roman" w:hAnsi="Times New Roman" w:cs="Times New Roman"/>
        </w:rPr>
        <w:fldChar w:fldCharType="end"/>
      </w:r>
    </w:p>
    <w:p w14:paraId="3FFCCB1A" w14:textId="77777777" w:rsidR="00706789" w:rsidRPr="0097296D" w:rsidRDefault="00706789" w:rsidP="00074B31">
      <w:pPr>
        <w:pStyle w:val="EndnoteText"/>
        <w:ind w:firstLine="720"/>
        <w:rPr>
          <w:rFonts w:ascii="Times New Roman" w:hAnsi="Times New Roman" w:cs="Times New Roman"/>
        </w:rPr>
      </w:pPr>
    </w:p>
  </w:endnote>
  <w:endnote w:id="99">
    <w:p w14:paraId="19AB9C81" w14:textId="24773A42" w:rsidR="00706789" w:rsidRPr="0097296D" w:rsidRDefault="00706789" w:rsidP="00E11E74">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For more information on research into assistive technology and learning disabilities, see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{"citationID":"IrtKK8Gc","properties":{"formattedCitation":"Bastedo Kathleen and Vargas Jessica, \\uc0\\u8220{}Assistive Technology and Distance Learning:Making Content Accessible.\\uc0\\u8221{}","plainCitation":"Bastedo Kathleen and Vargas Jessica, “Assistive Technology and Distance Learning:Making Content Accessible.”","noteIndex":87},"citationItems":[{"id":1506,"uris":["http://zotero.org/users/6986165/items/C3KYL9GB"],"uri":["http://zotero.org/users/6986165/items/C3KYL9GB"],"itemData":{"id":1506,"type":"article-journal","abstract":"ABSTRACT For those with disabilities, distance-learning courses can provide access to a world that was once inaccessible. Online learning becomes a possibility and for many a gateway to contributing to [...]","archive":"Credo Reference","container-title":"Online Course Management: Concepts, Methodologies, Tools, and Applications","ISSN":"1-5225-5472-6","journalAbbreviation":"Online Course Management: Concepts, Methodologies, Tools, and Applications","note":"publisher: IGI Global","source":"EBSCOhost","title":"Assistive Technology and Distance Learning:Making Content Accessible","URL":"http://aaron.swbts.edu/login?url=https://search.ebscohost.com/login.aspx?direct=true&amp;db=edscrc&amp;AN=edscrc.27439544&amp;site=eds-live","author":[{"literal":"Bastedo Kathleen"},{"literal":"Vargas Jessica"}],"issued":{"date-parts":[["2018",1,1]]}}}],"schema":"https://github.com/citation-style-language/schema/raw/master/csl-citation.json"}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Bastedo and Vargas, “Assistive Technology and Distance Learning:</w:t>
      </w:r>
      <w:r>
        <w:rPr>
          <w:rFonts w:ascii="Times New Roman" w:hAnsi="Times New Roman" w:cs="Times New Roman"/>
        </w:rPr>
        <w:t xml:space="preserve"> </w:t>
      </w:r>
      <w:r w:rsidRPr="0097296D">
        <w:rPr>
          <w:rFonts w:ascii="Times New Roman" w:hAnsi="Times New Roman" w:cs="Times New Roman"/>
        </w:rPr>
        <w:t>Making Content Accessible.”</w:t>
      </w:r>
      <w:r w:rsidRPr="0097296D">
        <w:rPr>
          <w:rFonts w:ascii="Times New Roman" w:hAnsi="Times New Roman" w:cs="Times New Roman"/>
        </w:rPr>
        <w:fldChar w:fldCharType="end"/>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{"citationID":"c7otWfa1","properties":{"formattedCitation":"Klemes et al., \\uc0\\u8220{}An Assistive Computerized Learning Environment for Distance Learning Students with Learning Disabilities.\\uc0\\u8221{}","plainCitation":"Klemes et al., “An Assistive Computerized Learning Environment for Distance Learning Students with Learning Disabilities.”","noteIndex":87},"citationItems":[{"id":1551,"uris":["http://zotero.org/users/6986165/items/RP2629VV"],"uri":["http://zotero.org/users/6986165/items/RP2629VV"],"itemData":{"id":1551,"type":"article-journal","abstract":"The current study examines how a computerized learning environment assists students with learning disabilities (LD) enrolled in a distance learning course at the Open University of Israel. The technology provides computer display of the text, synchronized with auditory output and accompanied by additional computerized study skill tools which support learning. Since the technology is not based on language-specific synthetic voice output, it can be operated in any language. The results of the study suggest that the assistive technology tested in this study is highly beneficial to students with LD who are studying from a distance. The prospects of its implementation for students with LD in distance learning academic institutions, at a time when their number in these institutions is increasing, are discussed. [ABSTRACT FROM AUTHOR]","archive":"Professional Development Collection","container-title":"Open Learning","ISSN":"02680513","issue":"1","journalAbbreviation":"Open Learning","note":"publisher: Routledge","page":"19-32","source":"EBSCOhost","title":"An assistive computerized learning environment for distance learning students with learning disabilities.","volume":"21","author":[{"family":"Klemes","given":"Joel"},{"family":"Epstein","given":"Alit"},{"family":"Zuker","given":"Michal"},{"family":"Grinberg","given":"Nira"},{"family":"Ilovitch","given":"Tamar"}],"issued":{"date-parts":[["2006",2]]}}}],"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Klemes et al., “An Assistive Computerized Learning Environment for Distance Learning Students with Learning Disabilities.”</w:t>
      </w:r>
      <w:r w:rsidRPr="0097296D">
        <w:rPr>
          <w:rFonts w:ascii="Times New Roman" w:hAnsi="Times New Roman" w:cs="Times New Roman"/>
        </w:rPr>
        <w:fldChar w:fldCharType="end"/>
      </w:r>
    </w:p>
    <w:p w14:paraId="682E0DD6" w14:textId="77777777" w:rsidR="00706789" w:rsidRPr="0097296D" w:rsidRDefault="00706789" w:rsidP="00E11E74">
      <w:pPr>
        <w:pStyle w:val="EndnoteText"/>
        <w:ind w:firstLine="720"/>
        <w:rPr>
          <w:rFonts w:ascii="Times New Roman" w:hAnsi="Times New Roman" w:cs="Times New Roman"/>
        </w:rPr>
      </w:pPr>
    </w:p>
  </w:endnote>
  <w:endnote w:id="100">
    <w:p w14:paraId="69DC1B86" w14:textId="3A7C1531" w:rsidR="00706789" w:rsidRPr="0097296D" w:rsidRDefault="00706789" w:rsidP="00074B31">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{"citationID":"f6H4sopa","properties":{"formattedCitation":"Terras, Anderson, and Grave, \\uc0\\u8220{}Comparing Disability Accommodations in Online Courses: A Cross-Classification.\\uc0\\u8221{}","plainCitation":"Terras, Anderson, and Grave, “Comparing Disability Accommodations in Online Courses: A Cross-Classification.”","noteIndex":86},"citationItems":[{"id":1806,"uris":["http://zotero.org/users/6986165/items/SQH2SKK7"],"uri":["http://zotero.org/users/6986165/items/SQH2SKK7"],"itemData":{"id":1806,"type":"article-journal","abstract":"This study shares similarities and differences in the experiences of graduate students with disabilities receiving accommodations in online courses based on their disability classifications. Data were collected using semistructured interviews and analyzed to identify core ideas through constant comparison, and propositions were formulated according to disability classification. The results indicated that all the participants were self-accommodated in online courses and were successful. The participants with ADHD were most impacted by their disability while those with visual impairments and chronic health impairments appeared least impacted in the online learning environment. Individualized, inclusive approaches for accommodating students in online programs are critical to supporting the development of the learner.","archive":"ERIC","archive_location":"Journal of Educators Online. Grand Canyon University, 23300 West Camelback Road, Phoenix, AZ 85017. e-mail: CIRT@gcu.edu. Web site: https://www.thejeo.com","container-title":"Journal of Educators Online","ISSN":"1547-500X","issue":"2","journalAbbreviation":"Journal of Educators Online","note":"publisher: Journal of Educators Online","source":"EBSCOhost","title":"Comparing Disability Accommodations in Online Courses: A Cross-Classification","URL":"http://aaron.swbts.edu/login?url=https://search.ebscohost.com/login.aspx?direct=true&amp;db=eric&amp;AN=EJ1268737&amp;site=eds-live","volume":"17","author":[{"family":"Terras","given":"Katherine"},{"family":"Anderson","given":"Sarah"},{"family":"Grave","given":"Shannon"}],"issued":{"date-parts":[["2020",7,1]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Terras, Anderson, and Grave, “Comparing Disability Accommodations in Online Courses: A Cross-Classification.”</w:t>
      </w:r>
      <w:r w:rsidRPr="0097296D">
        <w:rPr>
          <w:rFonts w:ascii="Times New Roman" w:hAnsi="Times New Roman" w:cs="Times New Roman"/>
        </w:rPr>
        <w:fldChar w:fldCharType="end"/>
      </w:r>
      <w:r w:rsidR="00FF1EC5">
        <w:rPr>
          <w:rFonts w:ascii="Times New Roman" w:hAnsi="Times New Roman" w:cs="Times New Roman"/>
        </w:rPr>
        <w:t xml:space="preserve"> </w:t>
      </w:r>
      <w:r w:rsidRPr="0097296D">
        <w:rPr>
          <w:rFonts w:ascii="Times New Roman" w:hAnsi="Times New Roman" w:cs="Times New Roman"/>
        </w:rPr>
        <w:t xml:space="preserve">5. </w:t>
      </w:r>
    </w:p>
    <w:p w14:paraId="7EB1E2E7" w14:textId="3C18D63F" w:rsidR="00706789" w:rsidRPr="0097296D" w:rsidRDefault="00706789">
      <w:pPr>
        <w:pStyle w:val="EndnoteText"/>
        <w:rPr>
          <w:rFonts w:ascii="Times New Roman" w:hAnsi="Times New Roman" w:cs="Times New Roman"/>
        </w:rPr>
      </w:pPr>
    </w:p>
  </w:endnote>
  <w:endnote w:id="101">
    <w:p w14:paraId="727347B1" w14:textId="44E18FF9" w:rsidR="00706789" w:rsidRPr="0097296D" w:rsidRDefault="00706789" w:rsidP="0054580A">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Louise </w:t>
      </w:r>
      <w:r w:rsidRPr="0097296D">
        <w:rPr>
          <w:rFonts w:ascii="Times New Roman" w:hAnsi="Times New Roman" w:cs="Times New Roman"/>
        </w:rPr>
        <w:t xml:space="preserve">Gosbell, “Universal Design for Learning in Christian Higher Education: Inclusive Practices for Students with and Without Disability,” in </w:t>
      </w:r>
      <w:r w:rsidRPr="0097296D">
        <w:rPr>
          <w:rFonts w:ascii="Times New Roman" w:hAnsi="Times New Roman" w:cs="Times New Roman"/>
          <w:i/>
          <w:iCs/>
        </w:rPr>
        <w:t>Innovating Christian Education Research</w:t>
      </w:r>
      <w:r w:rsidRPr="0097296D">
        <w:rPr>
          <w:rFonts w:ascii="Times New Roman" w:hAnsi="Times New Roman" w:cs="Times New Roman"/>
        </w:rPr>
        <w:t>, ed. Johannes M. Luetz and Beth Green (Singapore: Springer Singapore, 2021), 423–442</w:t>
      </w:r>
      <w:r w:rsidR="00C64533">
        <w:rPr>
          <w:rFonts w:ascii="Times New Roman" w:hAnsi="Times New Roman" w:cs="Times New Roman"/>
        </w:rPr>
        <w:t>.</w:t>
      </w:r>
    </w:p>
    <w:p w14:paraId="10803207" w14:textId="4B924AFC" w:rsidR="00706789" w:rsidRPr="0097296D" w:rsidRDefault="00706789">
      <w:pPr>
        <w:pStyle w:val="EndnoteText"/>
        <w:rPr>
          <w:rFonts w:ascii="Times New Roman" w:hAnsi="Times New Roman" w:cs="Times New Roman"/>
        </w:rPr>
      </w:pPr>
    </w:p>
  </w:endnote>
  <w:endnote w:id="102">
    <w:p w14:paraId="0DB25E3D" w14:textId="3E2012F1" w:rsidR="00706789" w:rsidRPr="0097296D" w:rsidRDefault="00706789" w:rsidP="00C67709">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{"citationID":"GPhRlv2E","properties":{"formattedCitation":"Graves et al., \\uc0\\u8220{}Asynchronous Online Access as an Accommodation on Students with Learning Disabilities and/or Attention-Deficit Hyperactivity Disorders in Postsecondary STEM Courses.\\uc0\\u8221{}","plainCitation":"Graves et al., “Asynchronous Online Access as an Accommodation on Students with Learning Disabilities and/or Attention-Deficit Hyperactivity Disorders in Postsecondary STEM Courses.”","noteIndex":89},"citationItems":[{"id":1561,"uris":["http://zotero.org/users/6986165/items/5U8ZXH8P"],"uri":["http://zotero.org/users/6986165/items/5U8ZXH8P"],"itemData":{"id":1561,"type":"article-journal","abstract":"The purpose of this study was to investigate whether asynchronous online access of course recordings was beneficial to students with learning disabilities (LD) and/or Attention Deficit/Hyperactivity Disorder (ADHD) enrolled in science, technology, engineering, and mathematics (STEM) courses. Data were collected through semi-structured interviews lasting 40 minutes. A total of 11 student participants with LD and/or ADHD were interviewed. Student participants were enrolled in math, biology, and chemistry courses that utilized asynchronous online access of digital recordings. Interview data were individually analyzed and compared through a cross-case analysis. Students reported that the use of asynchronous online access enhanced their learning experiences according to six themes: clarity, organization, asynchronous access, convenience, achievement, and disability coping mechanism. (Contains 1 table.)","archive":"ERIC","archive_location":"Association on Higher Education and Disability. 107 Commerce Center Drive Suite 204, Huntersville, NC 28078. Tel: 704-947-7779; Fax: 704-948-7779; e-mail: ahead@ahead.org; Web site: http://www.ahead.org/publications/jped","container-title":"Journal of Postsecondary Education and Disability","issue":"4","journalAbbreviation":"Journal of Postsecondary Education and Disability","note":"publisher: Journal of Postsecondary Education and Disability","page":"317-330","source":"EBSCOhost","title":"Asynchronous Online Access as an Accommodation on Students with Learning Disabilities and/or Attention-Deficit Hyperactivity Disorders in Postsecondary STEM Courses","volume":"24","author":[{"family":"Graves","given":"Laura"},{"family":"Asunda","given":"Paul A."},{"family":"Plant","given":"Stacey J."},{"family":"Goad","given":"Chester"}],"issued":{"date-parts":[["2011",1,1]]}}}],"schema":"https://github.com/citation-style-language/schema/raw/master/csl-citation.json"}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Graves et al., “Asynchronous Online Access as an Accommodation on Students with Learning Disabilities and/or Attention-Deficit Hyperactivity Disorders in Postsecondary STEM Courses.”</w:t>
      </w:r>
      <w:r w:rsidRPr="0097296D">
        <w:rPr>
          <w:rFonts w:ascii="Times New Roman" w:hAnsi="Times New Roman" w:cs="Times New Roman"/>
        </w:rPr>
        <w:fldChar w:fldCharType="end"/>
      </w:r>
    </w:p>
  </w:endnote>
  <w:endnote w:id="103">
    <w:p w14:paraId="2EF9F411" w14:textId="77777777" w:rsidR="00706789" w:rsidRPr="0097296D" w:rsidRDefault="00706789">
      <w:pPr>
        <w:pStyle w:val="EndnoteText"/>
        <w:rPr>
          <w:rFonts w:ascii="Times New Roman" w:hAnsi="Times New Roman" w:cs="Times New Roman"/>
        </w:rPr>
      </w:pPr>
    </w:p>
    <w:p w14:paraId="541E14A4" w14:textId="07DF96ED" w:rsidR="00706789" w:rsidRPr="0097296D" w:rsidRDefault="00706789" w:rsidP="00D04EA6">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{"citationID":"AMDFAHcB","properties":{"formattedCitation":"Kristen A Ferguson, {\\i{}Excellence in Online Education: Creating a Christian Community on Mission} (Nashville: B &amp; H Academic, 2020).","plainCitation":"Kristen A Ferguson, Excellence in Online Education: Creating a Christian Community on Mission (Nashville: B &amp; H Academic, 2020).","noteIndex":88},"citationItems":[{"id":1174,"uris":["http://zotero.org/groups/2729470/items/DUG4GAIH"],"uri":["http://zotero.org/groups/2729470/items/DUG4GAIH"],"itemData":{"id":1174,"type":"book","event-place":"Nashville","ISBN":"978-1-08-773179-7","language":"English","note":"OCLC: 1162188006","publisher":"B &amp; H Academic","publisher-place":"Nashville","source":"Open WorldCat","title":"Excellence in online education: Creating a christian community on mission","title-short":"Excellence in online education","author":[{"family":"Ferguson","given":"Kristen A"}],"issued":{"date-parts":[["2020"]]}}}],"schema":"https://github.com/citation-style-language/schema/raw/master/csl-citation.json"}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Kristen A Ferguson, </w:t>
      </w:r>
      <w:r w:rsidRPr="0097296D">
        <w:rPr>
          <w:rFonts w:ascii="Times New Roman" w:hAnsi="Times New Roman" w:cs="Times New Roman"/>
          <w:i/>
          <w:iCs/>
        </w:rPr>
        <w:t>Excellence in Online Education: Creating a Christian Community on Mission</w:t>
      </w:r>
      <w:r w:rsidRPr="0097296D">
        <w:rPr>
          <w:rFonts w:ascii="Times New Roman" w:hAnsi="Times New Roman" w:cs="Times New Roman"/>
        </w:rPr>
        <w:t xml:space="preserve"> (Nashville: B &amp; H Academic, 2020).</w:t>
      </w:r>
      <w:r w:rsidRPr="0097296D">
        <w:rPr>
          <w:rFonts w:ascii="Times New Roman" w:hAnsi="Times New Roman" w:cs="Times New Roman"/>
        </w:rPr>
        <w:fldChar w:fldCharType="end"/>
      </w:r>
      <w:r w:rsidRPr="0097296D">
        <w:rPr>
          <w:rFonts w:ascii="Times New Roman" w:hAnsi="Times New Roman" w:cs="Times New Roman"/>
        </w:rPr>
        <w:t xml:space="preserve"> </w:t>
      </w:r>
    </w:p>
    <w:p w14:paraId="4EB7EBF4" w14:textId="77777777" w:rsidR="00706789" w:rsidRPr="0097296D" w:rsidRDefault="00706789" w:rsidP="00D04EA6">
      <w:pPr>
        <w:pStyle w:val="EndnoteText"/>
        <w:ind w:firstLine="720"/>
        <w:rPr>
          <w:rFonts w:ascii="Times New Roman" w:hAnsi="Times New Roman" w:cs="Times New Roman"/>
        </w:rPr>
      </w:pPr>
    </w:p>
  </w:endnote>
  <w:endnote w:id="104">
    <w:p w14:paraId="22645476" w14:textId="298CB9D0" w:rsidR="00706789" w:rsidRPr="008A0A9E" w:rsidRDefault="00706789" w:rsidP="00B83E3E">
      <w:pPr>
        <w:pStyle w:val="EndnoteText"/>
        <w:ind w:firstLine="720"/>
        <w:rPr>
          <w:rFonts w:ascii="Times New Roman" w:hAnsi="Times New Roman" w:cs="Times New Roman"/>
        </w:rPr>
      </w:pPr>
      <w:r w:rsidRPr="00B036D5">
        <w:rPr>
          <w:rStyle w:val="EndnoteReference"/>
          <w:rFonts w:ascii="Times New Roman" w:hAnsi="Times New Roman" w:cs="Times New Roman"/>
        </w:rPr>
        <w:endnoteRef/>
      </w:r>
      <w:r w:rsidRPr="00B036D5">
        <w:rPr>
          <w:rFonts w:ascii="Times New Roman" w:hAnsi="Times New Roman" w:cs="Times New Roman"/>
        </w:rPr>
        <w:t xml:space="preserve"> </w:t>
      </w:r>
      <w:r w:rsidR="00B83E3E" w:rsidRPr="00B036D5">
        <w:rPr>
          <w:rFonts w:ascii="Times New Roman" w:hAnsi="Times New Roman" w:cs="Times New Roman"/>
        </w:rPr>
        <w:t xml:space="preserve">Mark A. </w:t>
      </w:r>
      <w:r w:rsidR="00B83E3E" w:rsidRPr="00B036D5">
        <w:rPr>
          <w:rFonts w:ascii="Times New Roman" w:hAnsi="Times New Roman" w:cs="Times New Roman"/>
        </w:rPr>
        <w:t xml:space="preserve">Maddix, “Developing Online Learning Communities,” </w:t>
      </w:r>
      <w:r w:rsidR="00B83E3E" w:rsidRPr="00B036D5">
        <w:rPr>
          <w:rFonts w:ascii="Times New Roman" w:hAnsi="Times New Roman" w:cs="Times New Roman"/>
          <w:i/>
          <w:iCs/>
        </w:rPr>
        <w:t>Christian Education Journal</w:t>
      </w:r>
      <w:r w:rsidR="00B83E3E" w:rsidRPr="00B036D5">
        <w:rPr>
          <w:rFonts w:ascii="Times New Roman" w:hAnsi="Times New Roman" w:cs="Times New Roman"/>
        </w:rPr>
        <w:t xml:space="preserve"> 10 (April 1, 2013): 1</w:t>
      </w:r>
      <w:r w:rsidR="00B83E3E">
        <w:rPr>
          <w:rFonts w:ascii="Times New Roman" w:hAnsi="Times New Roman" w:cs="Times New Roman"/>
        </w:rPr>
        <w:t>42</w:t>
      </w:r>
      <w:r w:rsidR="00B83E3E" w:rsidRPr="00B036D5">
        <w:rPr>
          <w:rFonts w:ascii="Times New Roman" w:hAnsi="Times New Roman" w:cs="Times New Roman"/>
        </w:rPr>
        <w:t>–14</w:t>
      </w:r>
      <w:r w:rsidR="00B83E3E">
        <w:rPr>
          <w:rFonts w:ascii="Times New Roman" w:hAnsi="Times New Roman" w:cs="Times New Roman"/>
        </w:rPr>
        <w:t>7</w:t>
      </w:r>
      <w:r w:rsidR="00B83E3E" w:rsidRPr="00B036D5">
        <w:rPr>
          <w:rFonts w:ascii="Times New Roman" w:hAnsi="Times New Roman" w:cs="Times New Roman"/>
        </w:rPr>
        <w:t>.</w:t>
      </w:r>
    </w:p>
    <w:p w14:paraId="752B4A81" w14:textId="77777777" w:rsidR="00706789" w:rsidRDefault="00706789">
      <w:pPr>
        <w:pStyle w:val="EndnoteText"/>
      </w:pPr>
    </w:p>
  </w:endnote>
  <w:endnote w:id="105">
    <w:p w14:paraId="2C541BFF" w14:textId="3795A94A" w:rsidR="00706789" w:rsidRPr="0097296D" w:rsidRDefault="00706789" w:rsidP="008128A7">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w:t>
      </w:r>
      <w:r w:rsidRPr="0097296D">
        <w:rPr>
          <w:rFonts w:ascii="Times New Roman" w:hAnsi="Times New Roman" w:cs="Times New Roman"/>
        </w:rPr>
        <w:fldChar w:fldCharType="begin"/>
      </w:r>
      <w:r w:rsidRPr="0097296D">
        <w:rPr>
          <w:rFonts w:ascii="Times New Roman" w:hAnsi="Times New Roman" w:cs="Times New Roman"/>
        </w:rPr>
        <w:instrText xml:space="preserve"> ADDIN ZOTERO_ITEM CSL_CITATION {"citationID":"OGLEOt1n","properties":{"formattedCitation":"Ye Diana Wang, \\uc0\\u8220{}Building Student Trust in Online Learning Environments.,\\uc0\\u8221{} {\\i{}Distance Education} 35, no. 3 (November 2014): 345\\uc0\\u8211{}359.","plainCitation":"Ye Diana Wang, “Building Student Trust in Online Learning Environments.,” Distance Education 35, no. 3 (November 2014): 345–359.","noteIndex":89},"citationItems":[{"id":1933,"uris":["http://zotero.org/users/6986165/items/IW9LEGJ9"],"uri":["http://zotero.org/users/6986165/items/IW9LEGJ9"],"itemData":{"id":1933,"type":"article-journal","abstract":"As online learning continues to gain widespread attention and thrive as a legitimate alternative to classroom instruction, educational institutions and online instructors face the challenge of building and sustaining student trust in online learning environments. The present study represents an attempt to address the challenge by identifying the social and technical factors that can likely induce or influence students’ perception about the trustworthiness of an online course and integrating the factors into a socio-technical framework that can be empirically validated. The methodology used and the data obtained from a university-wide survey conducted in an American university are reported in this article. Feedback from students with disabilities was further investigated, and the result has important implications for our understanding of disabled students’ acceptance for online learning. [ABSTRACT FROM PUBLISHER]","archive":"Professional Development Collection","container-title":"Distance Education","ISSN":"01587919","issue":"3","journalAbbreviation":"Distance Education","note":"publisher: Routledge","page":"345-359","source":"EBSCOhost","title":"Building student trust in online learning environments.","volume":"35","author":[{"family":"Wang","given":"Ye Diana"}],"issued":{"date-parts":[["2014",11]]}}}],"schema":"https://github.com/citation-style-language/schema/raw/master/csl-citation.json"} </w:instrText>
      </w:r>
      <w:r w:rsidRPr="0097296D">
        <w:rPr>
          <w:rFonts w:ascii="Times New Roman" w:hAnsi="Times New Roman" w:cs="Times New Roman"/>
        </w:rPr>
        <w:fldChar w:fldCharType="separate"/>
      </w:r>
      <w:r w:rsidRPr="0097296D">
        <w:rPr>
          <w:rFonts w:ascii="Times New Roman" w:hAnsi="Times New Roman" w:cs="Times New Roman"/>
        </w:rPr>
        <w:t xml:space="preserve">Ye Diana Wang, “Building Student Trust in Online Learning Environments.,” </w:t>
      </w:r>
      <w:r w:rsidRPr="0097296D">
        <w:rPr>
          <w:rFonts w:ascii="Times New Roman" w:hAnsi="Times New Roman" w:cs="Times New Roman"/>
          <w:i/>
          <w:iCs/>
        </w:rPr>
        <w:t>Distance Education</w:t>
      </w:r>
      <w:r w:rsidRPr="0097296D">
        <w:rPr>
          <w:rFonts w:ascii="Times New Roman" w:hAnsi="Times New Roman" w:cs="Times New Roman"/>
        </w:rPr>
        <w:t xml:space="preserve"> 35, no. 3 (November 2014): 345–359.</w:t>
      </w:r>
      <w:r w:rsidRPr="0097296D">
        <w:rPr>
          <w:rFonts w:ascii="Times New Roman" w:hAnsi="Times New Roman" w:cs="Times New Roman"/>
        </w:rPr>
        <w:fldChar w:fldCharType="end"/>
      </w:r>
    </w:p>
  </w:endnote>
  <w:endnote w:id="106">
    <w:p w14:paraId="6BFE0A0E" w14:textId="77777777" w:rsidR="00706789" w:rsidRDefault="00706789" w:rsidP="001F3BBB">
      <w:pPr>
        <w:pStyle w:val="EndnoteText"/>
        <w:ind w:firstLine="720"/>
        <w:rPr>
          <w:rFonts w:ascii="Times New Roman" w:hAnsi="Times New Roman" w:cs="Times New Roman"/>
        </w:rPr>
      </w:pPr>
    </w:p>
    <w:p w14:paraId="7ACCC40F" w14:textId="774D4FDF" w:rsidR="00706789" w:rsidRPr="0097296D" w:rsidRDefault="00706789" w:rsidP="001F3BBB">
      <w:pPr>
        <w:pStyle w:val="EndnoteText"/>
        <w:ind w:firstLine="720"/>
        <w:rPr>
          <w:rFonts w:ascii="Times New Roman" w:hAnsi="Times New Roman" w:cs="Times New Roman"/>
        </w:rPr>
      </w:pPr>
      <w:r w:rsidRPr="0097296D">
        <w:rPr>
          <w:rStyle w:val="EndnoteReference"/>
          <w:rFonts w:ascii="Times New Roman" w:hAnsi="Times New Roman" w:cs="Times New Roman"/>
        </w:rPr>
        <w:endnoteRef/>
      </w:r>
      <w:r w:rsidRPr="0097296D">
        <w:rPr>
          <w:rFonts w:ascii="Times New Roman" w:hAnsi="Times New Roman" w:cs="Times New Roman"/>
        </w:rPr>
        <w:t xml:space="preserve"> Mark 4:33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3D4F" w14:textId="77777777" w:rsidR="008F4F7F" w:rsidRDefault="008F4F7F" w:rsidP="00A84F85">
      <w:r>
        <w:separator/>
      </w:r>
    </w:p>
  </w:footnote>
  <w:footnote w:type="continuationSeparator" w:id="0">
    <w:p w14:paraId="56834626" w14:textId="77777777" w:rsidR="008F4F7F" w:rsidRDefault="008F4F7F" w:rsidP="00A84F85">
      <w:r>
        <w:continuationSeparator/>
      </w:r>
    </w:p>
  </w:footnote>
  <w:footnote w:type="continuationNotice" w:id="1">
    <w:p w14:paraId="46773BC1" w14:textId="77777777" w:rsidR="008F4F7F" w:rsidRDefault="008F4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8823427"/>
      <w:docPartObj>
        <w:docPartGallery w:val="Page Numbers (Top of Page)"/>
        <w:docPartUnique/>
      </w:docPartObj>
    </w:sdtPr>
    <w:sdtEndPr>
      <w:rPr>
        <w:rStyle w:val="PageNumber"/>
      </w:rPr>
    </w:sdtEndPr>
    <w:sdtContent>
      <w:p w14:paraId="59CA7017" w14:textId="61E3C513" w:rsidR="006E167D" w:rsidRDefault="006E167D" w:rsidP="0065130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17454D" w14:textId="77777777" w:rsidR="006E167D" w:rsidRDefault="006E167D" w:rsidP="006E16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7379991"/>
      <w:docPartObj>
        <w:docPartGallery w:val="Page Numbers (Top of Page)"/>
        <w:docPartUnique/>
      </w:docPartObj>
    </w:sdtPr>
    <w:sdtEndPr>
      <w:rPr>
        <w:rStyle w:val="PageNumber"/>
      </w:rPr>
    </w:sdtEndPr>
    <w:sdtContent>
      <w:p w14:paraId="496666C0" w14:textId="662526D1" w:rsidR="006E167D" w:rsidRDefault="006E167D" w:rsidP="0065130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4D27884" w14:textId="77777777" w:rsidR="006E167D" w:rsidRDefault="006E167D" w:rsidP="006E167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2690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DCD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2E3A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C0A6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5409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C477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86BB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E2C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C06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48FB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2D0FC7"/>
    <w:multiLevelType w:val="hybridMultilevel"/>
    <w:tmpl w:val="0672AF24"/>
    <w:lvl w:ilvl="0" w:tplc="F106143A">
      <w:start w:val="1"/>
      <w:numFmt w:val="bullet"/>
      <w:lvlText w:val=""/>
      <w:lvlJc w:val="left"/>
      <w:pPr>
        <w:ind w:left="720" w:hanging="360"/>
      </w:pPr>
      <w:rPr>
        <w:rFonts w:ascii="Symbol" w:hAnsi="Symbol" w:hint="default"/>
      </w:rPr>
    </w:lvl>
    <w:lvl w:ilvl="1" w:tplc="7B26C03C" w:tentative="1">
      <w:start w:val="1"/>
      <w:numFmt w:val="bullet"/>
      <w:lvlText w:val="o"/>
      <w:lvlJc w:val="left"/>
      <w:pPr>
        <w:ind w:left="1440" w:hanging="360"/>
      </w:pPr>
      <w:rPr>
        <w:rFonts w:ascii="Courier New" w:hAnsi="Courier New" w:cs="Courier New" w:hint="default"/>
      </w:rPr>
    </w:lvl>
    <w:lvl w:ilvl="2" w:tplc="73F034E8" w:tentative="1">
      <w:start w:val="1"/>
      <w:numFmt w:val="bullet"/>
      <w:lvlText w:val=""/>
      <w:lvlJc w:val="left"/>
      <w:pPr>
        <w:ind w:left="2160" w:hanging="360"/>
      </w:pPr>
      <w:rPr>
        <w:rFonts w:ascii="Wingdings" w:hAnsi="Wingdings" w:hint="default"/>
      </w:rPr>
    </w:lvl>
    <w:lvl w:ilvl="3" w:tplc="0A441F50" w:tentative="1">
      <w:start w:val="1"/>
      <w:numFmt w:val="bullet"/>
      <w:lvlText w:val=""/>
      <w:lvlJc w:val="left"/>
      <w:pPr>
        <w:ind w:left="2880" w:hanging="360"/>
      </w:pPr>
      <w:rPr>
        <w:rFonts w:ascii="Symbol" w:hAnsi="Symbol" w:hint="default"/>
      </w:rPr>
    </w:lvl>
    <w:lvl w:ilvl="4" w:tplc="AB289CC2" w:tentative="1">
      <w:start w:val="1"/>
      <w:numFmt w:val="bullet"/>
      <w:lvlText w:val="o"/>
      <w:lvlJc w:val="left"/>
      <w:pPr>
        <w:ind w:left="3600" w:hanging="360"/>
      </w:pPr>
      <w:rPr>
        <w:rFonts w:ascii="Courier New" w:hAnsi="Courier New" w:cs="Courier New" w:hint="default"/>
      </w:rPr>
    </w:lvl>
    <w:lvl w:ilvl="5" w:tplc="314EF13C" w:tentative="1">
      <w:start w:val="1"/>
      <w:numFmt w:val="bullet"/>
      <w:lvlText w:val=""/>
      <w:lvlJc w:val="left"/>
      <w:pPr>
        <w:ind w:left="4320" w:hanging="360"/>
      </w:pPr>
      <w:rPr>
        <w:rFonts w:ascii="Wingdings" w:hAnsi="Wingdings" w:hint="default"/>
      </w:rPr>
    </w:lvl>
    <w:lvl w:ilvl="6" w:tplc="124C5FD6" w:tentative="1">
      <w:start w:val="1"/>
      <w:numFmt w:val="bullet"/>
      <w:lvlText w:val=""/>
      <w:lvlJc w:val="left"/>
      <w:pPr>
        <w:ind w:left="5040" w:hanging="360"/>
      </w:pPr>
      <w:rPr>
        <w:rFonts w:ascii="Symbol" w:hAnsi="Symbol" w:hint="default"/>
      </w:rPr>
    </w:lvl>
    <w:lvl w:ilvl="7" w:tplc="0D3CF548" w:tentative="1">
      <w:start w:val="1"/>
      <w:numFmt w:val="bullet"/>
      <w:lvlText w:val="o"/>
      <w:lvlJc w:val="left"/>
      <w:pPr>
        <w:ind w:left="5760" w:hanging="360"/>
      </w:pPr>
      <w:rPr>
        <w:rFonts w:ascii="Courier New" w:hAnsi="Courier New" w:cs="Courier New" w:hint="default"/>
      </w:rPr>
    </w:lvl>
    <w:lvl w:ilvl="8" w:tplc="8AA6ADB6" w:tentative="1">
      <w:start w:val="1"/>
      <w:numFmt w:val="bullet"/>
      <w:lvlText w:val=""/>
      <w:lvlJc w:val="left"/>
      <w:pPr>
        <w:ind w:left="6480" w:hanging="360"/>
      </w:pPr>
      <w:rPr>
        <w:rFonts w:ascii="Wingdings" w:hAnsi="Wingdings" w:hint="default"/>
      </w:rPr>
    </w:lvl>
  </w:abstractNum>
  <w:abstractNum w:abstractNumId="11" w15:restartNumberingAfterBreak="0">
    <w:nsid w:val="37C71655"/>
    <w:multiLevelType w:val="hybridMultilevel"/>
    <w:tmpl w:val="FDE61CDE"/>
    <w:lvl w:ilvl="0" w:tplc="8CA872AA">
      <w:start w:val="1"/>
      <w:numFmt w:val="bullet"/>
      <w:lvlText w:val=""/>
      <w:lvlJc w:val="left"/>
      <w:pPr>
        <w:ind w:left="720" w:hanging="360"/>
      </w:pPr>
      <w:rPr>
        <w:rFonts w:ascii="Symbol" w:hAnsi="Symbol" w:hint="default"/>
      </w:rPr>
    </w:lvl>
    <w:lvl w:ilvl="1" w:tplc="447E17B8" w:tentative="1">
      <w:start w:val="1"/>
      <w:numFmt w:val="bullet"/>
      <w:lvlText w:val="o"/>
      <w:lvlJc w:val="left"/>
      <w:pPr>
        <w:ind w:left="1440" w:hanging="360"/>
      </w:pPr>
      <w:rPr>
        <w:rFonts w:ascii="Courier New" w:hAnsi="Courier New" w:cs="Courier New" w:hint="default"/>
      </w:rPr>
    </w:lvl>
    <w:lvl w:ilvl="2" w:tplc="5F6AED1C" w:tentative="1">
      <w:start w:val="1"/>
      <w:numFmt w:val="bullet"/>
      <w:lvlText w:val=""/>
      <w:lvlJc w:val="left"/>
      <w:pPr>
        <w:ind w:left="2160" w:hanging="360"/>
      </w:pPr>
      <w:rPr>
        <w:rFonts w:ascii="Wingdings" w:hAnsi="Wingdings" w:hint="default"/>
      </w:rPr>
    </w:lvl>
    <w:lvl w:ilvl="3" w:tplc="115AF5EE" w:tentative="1">
      <w:start w:val="1"/>
      <w:numFmt w:val="bullet"/>
      <w:lvlText w:val=""/>
      <w:lvlJc w:val="left"/>
      <w:pPr>
        <w:ind w:left="2880" w:hanging="360"/>
      </w:pPr>
      <w:rPr>
        <w:rFonts w:ascii="Symbol" w:hAnsi="Symbol" w:hint="default"/>
      </w:rPr>
    </w:lvl>
    <w:lvl w:ilvl="4" w:tplc="4FA49ABC" w:tentative="1">
      <w:start w:val="1"/>
      <w:numFmt w:val="bullet"/>
      <w:lvlText w:val="o"/>
      <w:lvlJc w:val="left"/>
      <w:pPr>
        <w:ind w:left="3600" w:hanging="360"/>
      </w:pPr>
      <w:rPr>
        <w:rFonts w:ascii="Courier New" w:hAnsi="Courier New" w:cs="Courier New" w:hint="default"/>
      </w:rPr>
    </w:lvl>
    <w:lvl w:ilvl="5" w:tplc="B73AADC8" w:tentative="1">
      <w:start w:val="1"/>
      <w:numFmt w:val="bullet"/>
      <w:lvlText w:val=""/>
      <w:lvlJc w:val="left"/>
      <w:pPr>
        <w:ind w:left="4320" w:hanging="360"/>
      </w:pPr>
      <w:rPr>
        <w:rFonts w:ascii="Wingdings" w:hAnsi="Wingdings" w:hint="default"/>
      </w:rPr>
    </w:lvl>
    <w:lvl w:ilvl="6" w:tplc="63867106" w:tentative="1">
      <w:start w:val="1"/>
      <w:numFmt w:val="bullet"/>
      <w:lvlText w:val=""/>
      <w:lvlJc w:val="left"/>
      <w:pPr>
        <w:ind w:left="5040" w:hanging="360"/>
      </w:pPr>
      <w:rPr>
        <w:rFonts w:ascii="Symbol" w:hAnsi="Symbol" w:hint="default"/>
      </w:rPr>
    </w:lvl>
    <w:lvl w:ilvl="7" w:tplc="6D1A00C4" w:tentative="1">
      <w:start w:val="1"/>
      <w:numFmt w:val="bullet"/>
      <w:lvlText w:val="o"/>
      <w:lvlJc w:val="left"/>
      <w:pPr>
        <w:ind w:left="5760" w:hanging="360"/>
      </w:pPr>
      <w:rPr>
        <w:rFonts w:ascii="Courier New" w:hAnsi="Courier New" w:cs="Courier New" w:hint="default"/>
      </w:rPr>
    </w:lvl>
    <w:lvl w:ilvl="8" w:tplc="A16AF7CE" w:tentative="1">
      <w:start w:val="1"/>
      <w:numFmt w:val="bullet"/>
      <w:lvlText w:val=""/>
      <w:lvlJc w:val="left"/>
      <w:pPr>
        <w:ind w:left="6480" w:hanging="360"/>
      </w:pPr>
      <w:rPr>
        <w:rFonts w:ascii="Wingdings" w:hAnsi="Wingdings" w:hint="default"/>
      </w:rPr>
    </w:lvl>
  </w:abstractNum>
  <w:abstractNum w:abstractNumId="12" w15:restartNumberingAfterBreak="0">
    <w:nsid w:val="400F432E"/>
    <w:multiLevelType w:val="multilevel"/>
    <w:tmpl w:val="E99A4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60EF6"/>
    <w:multiLevelType w:val="multilevel"/>
    <w:tmpl w:val="57F82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57F40"/>
    <w:multiLevelType w:val="multilevel"/>
    <w:tmpl w:val="26C80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11C29"/>
    <w:multiLevelType w:val="hybridMultilevel"/>
    <w:tmpl w:val="F7D2B7BC"/>
    <w:lvl w:ilvl="0" w:tplc="1F706DF8">
      <w:start w:val="1"/>
      <w:numFmt w:val="bullet"/>
      <w:lvlText w:val=""/>
      <w:lvlJc w:val="left"/>
      <w:pPr>
        <w:ind w:left="720" w:hanging="360"/>
      </w:pPr>
      <w:rPr>
        <w:rFonts w:ascii="Symbol" w:hAnsi="Symbol" w:hint="default"/>
      </w:rPr>
    </w:lvl>
    <w:lvl w:ilvl="1" w:tplc="56F0C1A0">
      <w:start w:val="1"/>
      <w:numFmt w:val="bullet"/>
      <w:lvlText w:val="o"/>
      <w:lvlJc w:val="left"/>
      <w:pPr>
        <w:ind w:left="1440" w:hanging="360"/>
      </w:pPr>
      <w:rPr>
        <w:rFonts w:ascii="Courier New" w:hAnsi="Courier New" w:cs="Courier New" w:hint="default"/>
      </w:rPr>
    </w:lvl>
    <w:lvl w:ilvl="2" w:tplc="CFDA8D20" w:tentative="1">
      <w:start w:val="1"/>
      <w:numFmt w:val="bullet"/>
      <w:lvlText w:val=""/>
      <w:lvlJc w:val="left"/>
      <w:pPr>
        <w:ind w:left="2160" w:hanging="360"/>
      </w:pPr>
      <w:rPr>
        <w:rFonts w:ascii="Wingdings" w:hAnsi="Wingdings" w:hint="default"/>
      </w:rPr>
    </w:lvl>
    <w:lvl w:ilvl="3" w:tplc="9ADA131E" w:tentative="1">
      <w:start w:val="1"/>
      <w:numFmt w:val="bullet"/>
      <w:lvlText w:val=""/>
      <w:lvlJc w:val="left"/>
      <w:pPr>
        <w:ind w:left="2880" w:hanging="360"/>
      </w:pPr>
      <w:rPr>
        <w:rFonts w:ascii="Symbol" w:hAnsi="Symbol" w:hint="default"/>
      </w:rPr>
    </w:lvl>
    <w:lvl w:ilvl="4" w:tplc="B18A7240" w:tentative="1">
      <w:start w:val="1"/>
      <w:numFmt w:val="bullet"/>
      <w:lvlText w:val="o"/>
      <w:lvlJc w:val="left"/>
      <w:pPr>
        <w:ind w:left="3600" w:hanging="360"/>
      </w:pPr>
      <w:rPr>
        <w:rFonts w:ascii="Courier New" w:hAnsi="Courier New" w:cs="Courier New" w:hint="default"/>
      </w:rPr>
    </w:lvl>
    <w:lvl w:ilvl="5" w:tplc="8A4AC65C" w:tentative="1">
      <w:start w:val="1"/>
      <w:numFmt w:val="bullet"/>
      <w:lvlText w:val=""/>
      <w:lvlJc w:val="left"/>
      <w:pPr>
        <w:ind w:left="4320" w:hanging="360"/>
      </w:pPr>
      <w:rPr>
        <w:rFonts w:ascii="Wingdings" w:hAnsi="Wingdings" w:hint="default"/>
      </w:rPr>
    </w:lvl>
    <w:lvl w:ilvl="6" w:tplc="7250E780" w:tentative="1">
      <w:start w:val="1"/>
      <w:numFmt w:val="bullet"/>
      <w:lvlText w:val=""/>
      <w:lvlJc w:val="left"/>
      <w:pPr>
        <w:ind w:left="5040" w:hanging="360"/>
      </w:pPr>
      <w:rPr>
        <w:rFonts w:ascii="Symbol" w:hAnsi="Symbol" w:hint="default"/>
      </w:rPr>
    </w:lvl>
    <w:lvl w:ilvl="7" w:tplc="AB8482AE" w:tentative="1">
      <w:start w:val="1"/>
      <w:numFmt w:val="bullet"/>
      <w:lvlText w:val="o"/>
      <w:lvlJc w:val="left"/>
      <w:pPr>
        <w:ind w:left="5760" w:hanging="360"/>
      </w:pPr>
      <w:rPr>
        <w:rFonts w:ascii="Courier New" w:hAnsi="Courier New" w:cs="Courier New" w:hint="default"/>
      </w:rPr>
    </w:lvl>
    <w:lvl w:ilvl="8" w:tplc="BC3E0CB0" w:tentative="1">
      <w:start w:val="1"/>
      <w:numFmt w:val="bullet"/>
      <w:lvlText w:val=""/>
      <w:lvlJc w:val="left"/>
      <w:pPr>
        <w:ind w:left="6480" w:hanging="360"/>
      </w:pPr>
      <w:rPr>
        <w:rFonts w:ascii="Wingdings" w:hAnsi="Wingdings" w:hint="default"/>
      </w:rPr>
    </w:lvl>
  </w:abstractNum>
  <w:abstractNum w:abstractNumId="16" w15:restartNumberingAfterBreak="0">
    <w:nsid w:val="64933526"/>
    <w:multiLevelType w:val="multilevel"/>
    <w:tmpl w:val="60FC2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F377D"/>
    <w:multiLevelType w:val="multilevel"/>
    <w:tmpl w:val="F48C5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0E2894"/>
    <w:multiLevelType w:val="hybridMultilevel"/>
    <w:tmpl w:val="024A2FD4"/>
    <w:lvl w:ilvl="0" w:tplc="8F764372">
      <w:start w:val="1"/>
      <w:numFmt w:val="bullet"/>
      <w:lvlText w:val=""/>
      <w:lvlJc w:val="left"/>
      <w:pPr>
        <w:ind w:left="720" w:hanging="360"/>
      </w:pPr>
      <w:rPr>
        <w:rFonts w:ascii="Symbol" w:hAnsi="Symbol" w:hint="default"/>
      </w:rPr>
    </w:lvl>
    <w:lvl w:ilvl="1" w:tplc="E48C5082" w:tentative="1">
      <w:start w:val="1"/>
      <w:numFmt w:val="bullet"/>
      <w:lvlText w:val="o"/>
      <w:lvlJc w:val="left"/>
      <w:pPr>
        <w:ind w:left="1440" w:hanging="360"/>
      </w:pPr>
      <w:rPr>
        <w:rFonts w:ascii="Courier New" w:hAnsi="Courier New" w:cs="Courier New" w:hint="default"/>
      </w:rPr>
    </w:lvl>
    <w:lvl w:ilvl="2" w:tplc="2520C88C" w:tentative="1">
      <w:start w:val="1"/>
      <w:numFmt w:val="bullet"/>
      <w:lvlText w:val=""/>
      <w:lvlJc w:val="left"/>
      <w:pPr>
        <w:ind w:left="2160" w:hanging="360"/>
      </w:pPr>
      <w:rPr>
        <w:rFonts w:ascii="Wingdings" w:hAnsi="Wingdings" w:hint="default"/>
      </w:rPr>
    </w:lvl>
    <w:lvl w:ilvl="3" w:tplc="17B85ED2" w:tentative="1">
      <w:start w:val="1"/>
      <w:numFmt w:val="bullet"/>
      <w:lvlText w:val=""/>
      <w:lvlJc w:val="left"/>
      <w:pPr>
        <w:ind w:left="2880" w:hanging="360"/>
      </w:pPr>
      <w:rPr>
        <w:rFonts w:ascii="Symbol" w:hAnsi="Symbol" w:hint="default"/>
      </w:rPr>
    </w:lvl>
    <w:lvl w:ilvl="4" w:tplc="2A28C01A" w:tentative="1">
      <w:start w:val="1"/>
      <w:numFmt w:val="bullet"/>
      <w:lvlText w:val="o"/>
      <w:lvlJc w:val="left"/>
      <w:pPr>
        <w:ind w:left="3600" w:hanging="360"/>
      </w:pPr>
      <w:rPr>
        <w:rFonts w:ascii="Courier New" w:hAnsi="Courier New" w:cs="Courier New" w:hint="default"/>
      </w:rPr>
    </w:lvl>
    <w:lvl w:ilvl="5" w:tplc="4D5AF232" w:tentative="1">
      <w:start w:val="1"/>
      <w:numFmt w:val="bullet"/>
      <w:lvlText w:val=""/>
      <w:lvlJc w:val="left"/>
      <w:pPr>
        <w:ind w:left="4320" w:hanging="360"/>
      </w:pPr>
      <w:rPr>
        <w:rFonts w:ascii="Wingdings" w:hAnsi="Wingdings" w:hint="default"/>
      </w:rPr>
    </w:lvl>
    <w:lvl w:ilvl="6" w:tplc="2118F9EC" w:tentative="1">
      <w:start w:val="1"/>
      <w:numFmt w:val="bullet"/>
      <w:lvlText w:val=""/>
      <w:lvlJc w:val="left"/>
      <w:pPr>
        <w:ind w:left="5040" w:hanging="360"/>
      </w:pPr>
      <w:rPr>
        <w:rFonts w:ascii="Symbol" w:hAnsi="Symbol" w:hint="default"/>
      </w:rPr>
    </w:lvl>
    <w:lvl w:ilvl="7" w:tplc="5A087622" w:tentative="1">
      <w:start w:val="1"/>
      <w:numFmt w:val="bullet"/>
      <w:lvlText w:val="o"/>
      <w:lvlJc w:val="left"/>
      <w:pPr>
        <w:ind w:left="5760" w:hanging="360"/>
      </w:pPr>
      <w:rPr>
        <w:rFonts w:ascii="Courier New" w:hAnsi="Courier New" w:cs="Courier New" w:hint="default"/>
      </w:rPr>
    </w:lvl>
    <w:lvl w:ilvl="8" w:tplc="99526D74" w:tentative="1">
      <w:start w:val="1"/>
      <w:numFmt w:val="bullet"/>
      <w:lvlText w:val=""/>
      <w:lvlJc w:val="left"/>
      <w:pPr>
        <w:ind w:left="6480" w:hanging="360"/>
      </w:pPr>
      <w:rPr>
        <w:rFonts w:ascii="Wingdings" w:hAnsi="Wingdings" w:hint="default"/>
      </w:rPr>
    </w:lvl>
  </w:abstractNum>
  <w:abstractNum w:abstractNumId="19" w15:restartNumberingAfterBreak="0">
    <w:nsid w:val="712E444C"/>
    <w:multiLevelType w:val="hybridMultilevel"/>
    <w:tmpl w:val="D74AE798"/>
    <w:lvl w:ilvl="0" w:tplc="F8F20FFE">
      <w:start w:val="1"/>
      <w:numFmt w:val="bullet"/>
      <w:lvlText w:val=""/>
      <w:lvlJc w:val="left"/>
      <w:pPr>
        <w:ind w:left="720" w:hanging="360"/>
      </w:pPr>
      <w:rPr>
        <w:rFonts w:ascii="Symbol" w:hAnsi="Symbol" w:hint="default"/>
      </w:rPr>
    </w:lvl>
    <w:lvl w:ilvl="1" w:tplc="D6D42E30" w:tentative="1">
      <w:start w:val="1"/>
      <w:numFmt w:val="bullet"/>
      <w:lvlText w:val="o"/>
      <w:lvlJc w:val="left"/>
      <w:pPr>
        <w:ind w:left="1440" w:hanging="360"/>
      </w:pPr>
      <w:rPr>
        <w:rFonts w:ascii="Courier New" w:hAnsi="Courier New" w:cs="Courier New" w:hint="default"/>
      </w:rPr>
    </w:lvl>
    <w:lvl w:ilvl="2" w:tplc="554EFCA2" w:tentative="1">
      <w:start w:val="1"/>
      <w:numFmt w:val="bullet"/>
      <w:lvlText w:val=""/>
      <w:lvlJc w:val="left"/>
      <w:pPr>
        <w:ind w:left="2160" w:hanging="360"/>
      </w:pPr>
      <w:rPr>
        <w:rFonts w:ascii="Wingdings" w:hAnsi="Wingdings" w:hint="default"/>
      </w:rPr>
    </w:lvl>
    <w:lvl w:ilvl="3" w:tplc="90163D2C" w:tentative="1">
      <w:start w:val="1"/>
      <w:numFmt w:val="bullet"/>
      <w:lvlText w:val=""/>
      <w:lvlJc w:val="left"/>
      <w:pPr>
        <w:ind w:left="2880" w:hanging="360"/>
      </w:pPr>
      <w:rPr>
        <w:rFonts w:ascii="Symbol" w:hAnsi="Symbol" w:hint="default"/>
      </w:rPr>
    </w:lvl>
    <w:lvl w:ilvl="4" w:tplc="3D28743E" w:tentative="1">
      <w:start w:val="1"/>
      <w:numFmt w:val="bullet"/>
      <w:lvlText w:val="o"/>
      <w:lvlJc w:val="left"/>
      <w:pPr>
        <w:ind w:left="3600" w:hanging="360"/>
      </w:pPr>
      <w:rPr>
        <w:rFonts w:ascii="Courier New" w:hAnsi="Courier New" w:cs="Courier New" w:hint="default"/>
      </w:rPr>
    </w:lvl>
    <w:lvl w:ilvl="5" w:tplc="F36C10D2" w:tentative="1">
      <w:start w:val="1"/>
      <w:numFmt w:val="bullet"/>
      <w:lvlText w:val=""/>
      <w:lvlJc w:val="left"/>
      <w:pPr>
        <w:ind w:left="4320" w:hanging="360"/>
      </w:pPr>
      <w:rPr>
        <w:rFonts w:ascii="Wingdings" w:hAnsi="Wingdings" w:hint="default"/>
      </w:rPr>
    </w:lvl>
    <w:lvl w:ilvl="6" w:tplc="85300212" w:tentative="1">
      <w:start w:val="1"/>
      <w:numFmt w:val="bullet"/>
      <w:lvlText w:val=""/>
      <w:lvlJc w:val="left"/>
      <w:pPr>
        <w:ind w:left="5040" w:hanging="360"/>
      </w:pPr>
      <w:rPr>
        <w:rFonts w:ascii="Symbol" w:hAnsi="Symbol" w:hint="default"/>
      </w:rPr>
    </w:lvl>
    <w:lvl w:ilvl="7" w:tplc="A9C2E7DC" w:tentative="1">
      <w:start w:val="1"/>
      <w:numFmt w:val="bullet"/>
      <w:lvlText w:val="o"/>
      <w:lvlJc w:val="left"/>
      <w:pPr>
        <w:ind w:left="5760" w:hanging="360"/>
      </w:pPr>
      <w:rPr>
        <w:rFonts w:ascii="Courier New" w:hAnsi="Courier New" w:cs="Courier New" w:hint="default"/>
      </w:rPr>
    </w:lvl>
    <w:lvl w:ilvl="8" w:tplc="85F483B0"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4"/>
  </w:num>
  <w:num w:numId="4">
    <w:abstractNumId w:val="12"/>
  </w:num>
  <w:num w:numId="5">
    <w:abstractNumId w:val="16"/>
  </w:num>
  <w:num w:numId="6">
    <w:abstractNumId w:val="15"/>
  </w:num>
  <w:num w:numId="7">
    <w:abstractNumId w:val="18"/>
  </w:num>
  <w:num w:numId="8">
    <w:abstractNumId w:val="19"/>
  </w:num>
  <w:num w:numId="9">
    <w:abstractNumId w:val="11"/>
  </w:num>
  <w:num w:numId="10">
    <w:abstractNumId w:val="10"/>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85"/>
    <w:rsid w:val="00000C2D"/>
    <w:rsid w:val="000066D3"/>
    <w:rsid w:val="000110A4"/>
    <w:rsid w:val="00013BEA"/>
    <w:rsid w:val="000172D9"/>
    <w:rsid w:val="00020337"/>
    <w:rsid w:val="000203E6"/>
    <w:rsid w:val="00021FF9"/>
    <w:rsid w:val="0002453B"/>
    <w:rsid w:val="00024D97"/>
    <w:rsid w:val="00031CD8"/>
    <w:rsid w:val="00036EAA"/>
    <w:rsid w:val="00036F29"/>
    <w:rsid w:val="00042698"/>
    <w:rsid w:val="000426A0"/>
    <w:rsid w:val="00046314"/>
    <w:rsid w:val="00051725"/>
    <w:rsid w:val="000525F2"/>
    <w:rsid w:val="00054101"/>
    <w:rsid w:val="00055E43"/>
    <w:rsid w:val="000567AD"/>
    <w:rsid w:val="000604E6"/>
    <w:rsid w:val="00060921"/>
    <w:rsid w:val="0006092F"/>
    <w:rsid w:val="00070E54"/>
    <w:rsid w:val="000729CF"/>
    <w:rsid w:val="00072E46"/>
    <w:rsid w:val="00074B31"/>
    <w:rsid w:val="00075125"/>
    <w:rsid w:val="0008028E"/>
    <w:rsid w:val="0008158D"/>
    <w:rsid w:val="0008595C"/>
    <w:rsid w:val="00085E55"/>
    <w:rsid w:val="000903A2"/>
    <w:rsid w:val="00090476"/>
    <w:rsid w:val="00096DEC"/>
    <w:rsid w:val="000A4062"/>
    <w:rsid w:val="000A5852"/>
    <w:rsid w:val="000A64D2"/>
    <w:rsid w:val="000A7EB1"/>
    <w:rsid w:val="000B1436"/>
    <w:rsid w:val="000B1492"/>
    <w:rsid w:val="000B325F"/>
    <w:rsid w:val="000B502B"/>
    <w:rsid w:val="000B52D0"/>
    <w:rsid w:val="000B6C19"/>
    <w:rsid w:val="000C4EDA"/>
    <w:rsid w:val="000C66D5"/>
    <w:rsid w:val="000C7800"/>
    <w:rsid w:val="000D01C3"/>
    <w:rsid w:val="000D6270"/>
    <w:rsid w:val="000E05F9"/>
    <w:rsid w:val="000E0A0A"/>
    <w:rsid w:val="000E7BF5"/>
    <w:rsid w:val="000F0534"/>
    <w:rsid w:val="0010481E"/>
    <w:rsid w:val="00106323"/>
    <w:rsid w:val="001063BC"/>
    <w:rsid w:val="00107445"/>
    <w:rsid w:val="00110351"/>
    <w:rsid w:val="00114482"/>
    <w:rsid w:val="00114570"/>
    <w:rsid w:val="00114658"/>
    <w:rsid w:val="00115AFB"/>
    <w:rsid w:val="00115DD6"/>
    <w:rsid w:val="00117085"/>
    <w:rsid w:val="00121DA1"/>
    <w:rsid w:val="00125899"/>
    <w:rsid w:val="00127290"/>
    <w:rsid w:val="00127D65"/>
    <w:rsid w:val="0013149C"/>
    <w:rsid w:val="00131A2C"/>
    <w:rsid w:val="00133770"/>
    <w:rsid w:val="00133F53"/>
    <w:rsid w:val="00134D8B"/>
    <w:rsid w:val="00136B33"/>
    <w:rsid w:val="0014050D"/>
    <w:rsid w:val="001417D2"/>
    <w:rsid w:val="00142CCB"/>
    <w:rsid w:val="00143611"/>
    <w:rsid w:val="00143E06"/>
    <w:rsid w:val="001452B7"/>
    <w:rsid w:val="00146205"/>
    <w:rsid w:val="00150787"/>
    <w:rsid w:val="0015350E"/>
    <w:rsid w:val="00156140"/>
    <w:rsid w:val="00157EE2"/>
    <w:rsid w:val="001618D4"/>
    <w:rsid w:val="001635FB"/>
    <w:rsid w:val="00164059"/>
    <w:rsid w:val="00167A58"/>
    <w:rsid w:val="00170B4A"/>
    <w:rsid w:val="00171E15"/>
    <w:rsid w:val="00172F9A"/>
    <w:rsid w:val="00173528"/>
    <w:rsid w:val="00176023"/>
    <w:rsid w:val="001803B7"/>
    <w:rsid w:val="00181DD2"/>
    <w:rsid w:val="001826DB"/>
    <w:rsid w:val="0019123B"/>
    <w:rsid w:val="00196570"/>
    <w:rsid w:val="0019723C"/>
    <w:rsid w:val="0019793D"/>
    <w:rsid w:val="001A3984"/>
    <w:rsid w:val="001A68CA"/>
    <w:rsid w:val="001A6F0B"/>
    <w:rsid w:val="001B261B"/>
    <w:rsid w:val="001B2AE3"/>
    <w:rsid w:val="001B2BA4"/>
    <w:rsid w:val="001B3DA2"/>
    <w:rsid w:val="001B3DAF"/>
    <w:rsid w:val="001B4C06"/>
    <w:rsid w:val="001B5955"/>
    <w:rsid w:val="001C02C3"/>
    <w:rsid w:val="001C443E"/>
    <w:rsid w:val="001C614B"/>
    <w:rsid w:val="001C63D7"/>
    <w:rsid w:val="001C75B7"/>
    <w:rsid w:val="001D30FD"/>
    <w:rsid w:val="001D3F6B"/>
    <w:rsid w:val="001D5172"/>
    <w:rsid w:val="001D7FD6"/>
    <w:rsid w:val="001E6A6F"/>
    <w:rsid w:val="001E7960"/>
    <w:rsid w:val="001F14B7"/>
    <w:rsid w:val="001F2F27"/>
    <w:rsid w:val="001F3BBB"/>
    <w:rsid w:val="001F559F"/>
    <w:rsid w:val="001F66C0"/>
    <w:rsid w:val="00201B90"/>
    <w:rsid w:val="00202F9C"/>
    <w:rsid w:val="0020448C"/>
    <w:rsid w:val="0020566B"/>
    <w:rsid w:val="002076F6"/>
    <w:rsid w:val="00211558"/>
    <w:rsid w:val="00213686"/>
    <w:rsid w:val="00213BB9"/>
    <w:rsid w:val="0021440B"/>
    <w:rsid w:val="00215E62"/>
    <w:rsid w:val="00216786"/>
    <w:rsid w:val="002177D4"/>
    <w:rsid w:val="00217D9B"/>
    <w:rsid w:val="00220950"/>
    <w:rsid w:val="002211BC"/>
    <w:rsid w:val="00221E88"/>
    <w:rsid w:val="00224F0F"/>
    <w:rsid w:val="0023027E"/>
    <w:rsid w:val="00230AC3"/>
    <w:rsid w:val="002316AA"/>
    <w:rsid w:val="00233878"/>
    <w:rsid w:val="00235B5B"/>
    <w:rsid w:val="002372B4"/>
    <w:rsid w:val="00241457"/>
    <w:rsid w:val="00243294"/>
    <w:rsid w:val="00243BC6"/>
    <w:rsid w:val="002460A6"/>
    <w:rsid w:val="00247A8B"/>
    <w:rsid w:val="0025460B"/>
    <w:rsid w:val="00254728"/>
    <w:rsid w:val="00256541"/>
    <w:rsid w:val="00260E74"/>
    <w:rsid w:val="00261F3A"/>
    <w:rsid w:val="002635B1"/>
    <w:rsid w:val="002650A8"/>
    <w:rsid w:val="00273D42"/>
    <w:rsid w:val="00280A3D"/>
    <w:rsid w:val="00280F84"/>
    <w:rsid w:val="00283263"/>
    <w:rsid w:val="002836DA"/>
    <w:rsid w:val="00284C10"/>
    <w:rsid w:val="002861C7"/>
    <w:rsid w:val="00286818"/>
    <w:rsid w:val="00291280"/>
    <w:rsid w:val="00293868"/>
    <w:rsid w:val="00295876"/>
    <w:rsid w:val="002A0F70"/>
    <w:rsid w:val="002A35C4"/>
    <w:rsid w:val="002A4556"/>
    <w:rsid w:val="002A4736"/>
    <w:rsid w:val="002A5C52"/>
    <w:rsid w:val="002A6C7C"/>
    <w:rsid w:val="002B011B"/>
    <w:rsid w:val="002B3516"/>
    <w:rsid w:val="002B3B9C"/>
    <w:rsid w:val="002B40B3"/>
    <w:rsid w:val="002B5176"/>
    <w:rsid w:val="002B5B17"/>
    <w:rsid w:val="002B6682"/>
    <w:rsid w:val="002B75B1"/>
    <w:rsid w:val="002C4F38"/>
    <w:rsid w:val="002C632B"/>
    <w:rsid w:val="002D296B"/>
    <w:rsid w:val="002D5318"/>
    <w:rsid w:val="002D79B0"/>
    <w:rsid w:val="002E211B"/>
    <w:rsid w:val="002E22E1"/>
    <w:rsid w:val="002E3C46"/>
    <w:rsid w:val="002E7415"/>
    <w:rsid w:val="002F0D9F"/>
    <w:rsid w:val="002F24A6"/>
    <w:rsid w:val="002F2C3D"/>
    <w:rsid w:val="002F57C0"/>
    <w:rsid w:val="002F5DA0"/>
    <w:rsid w:val="003015A3"/>
    <w:rsid w:val="00301CD5"/>
    <w:rsid w:val="00302779"/>
    <w:rsid w:val="00304742"/>
    <w:rsid w:val="00304C1B"/>
    <w:rsid w:val="00304E7E"/>
    <w:rsid w:val="0030526D"/>
    <w:rsid w:val="00306316"/>
    <w:rsid w:val="00316004"/>
    <w:rsid w:val="00322DB2"/>
    <w:rsid w:val="00324788"/>
    <w:rsid w:val="0032484B"/>
    <w:rsid w:val="00330A95"/>
    <w:rsid w:val="00331EF2"/>
    <w:rsid w:val="00333638"/>
    <w:rsid w:val="00334DA5"/>
    <w:rsid w:val="00335ECE"/>
    <w:rsid w:val="003363FF"/>
    <w:rsid w:val="003364D1"/>
    <w:rsid w:val="003449B2"/>
    <w:rsid w:val="003467AA"/>
    <w:rsid w:val="00355F89"/>
    <w:rsid w:val="00357D1F"/>
    <w:rsid w:val="00357D97"/>
    <w:rsid w:val="00366573"/>
    <w:rsid w:val="003671ED"/>
    <w:rsid w:val="0037159F"/>
    <w:rsid w:val="00373DBF"/>
    <w:rsid w:val="00374488"/>
    <w:rsid w:val="00374D6B"/>
    <w:rsid w:val="003752C8"/>
    <w:rsid w:val="00375825"/>
    <w:rsid w:val="0037604F"/>
    <w:rsid w:val="00376841"/>
    <w:rsid w:val="00381A0B"/>
    <w:rsid w:val="00382DE0"/>
    <w:rsid w:val="00383E31"/>
    <w:rsid w:val="0038518D"/>
    <w:rsid w:val="00387B65"/>
    <w:rsid w:val="003914D2"/>
    <w:rsid w:val="00392C99"/>
    <w:rsid w:val="00393820"/>
    <w:rsid w:val="003942BE"/>
    <w:rsid w:val="00395B58"/>
    <w:rsid w:val="003A06F8"/>
    <w:rsid w:val="003A1F04"/>
    <w:rsid w:val="003A5A5A"/>
    <w:rsid w:val="003B1D4C"/>
    <w:rsid w:val="003B1E48"/>
    <w:rsid w:val="003B2378"/>
    <w:rsid w:val="003B3136"/>
    <w:rsid w:val="003B3C22"/>
    <w:rsid w:val="003B44CA"/>
    <w:rsid w:val="003B4D0A"/>
    <w:rsid w:val="003C0A1A"/>
    <w:rsid w:val="003C1602"/>
    <w:rsid w:val="003C3202"/>
    <w:rsid w:val="003E3934"/>
    <w:rsid w:val="003E3E1B"/>
    <w:rsid w:val="003F05CF"/>
    <w:rsid w:val="003F093F"/>
    <w:rsid w:val="003F196B"/>
    <w:rsid w:val="003F60BF"/>
    <w:rsid w:val="003F7DFD"/>
    <w:rsid w:val="004046DE"/>
    <w:rsid w:val="00404D75"/>
    <w:rsid w:val="00404E71"/>
    <w:rsid w:val="00405E56"/>
    <w:rsid w:val="00411AA7"/>
    <w:rsid w:val="0041482F"/>
    <w:rsid w:val="004155A3"/>
    <w:rsid w:val="0041574B"/>
    <w:rsid w:val="00426604"/>
    <w:rsid w:val="004271B5"/>
    <w:rsid w:val="00433041"/>
    <w:rsid w:val="0043389C"/>
    <w:rsid w:val="00440920"/>
    <w:rsid w:val="00444974"/>
    <w:rsid w:val="00452E0B"/>
    <w:rsid w:val="004568F8"/>
    <w:rsid w:val="00456EBD"/>
    <w:rsid w:val="004618E2"/>
    <w:rsid w:val="004625A4"/>
    <w:rsid w:val="00463A8B"/>
    <w:rsid w:val="00471E36"/>
    <w:rsid w:val="0047312E"/>
    <w:rsid w:val="00473798"/>
    <w:rsid w:val="004739E8"/>
    <w:rsid w:val="00473B65"/>
    <w:rsid w:val="004765BC"/>
    <w:rsid w:val="004807F2"/>
    <w:rsid w:val="00497532"/>
    <w:rsid w:val="00497B59"/>
    <w:rsid w:val="004A236E"/>
    <w:rsid w:val="004A54A1"/>
    <w:rsid w:val="004A5E00"/>
    <w:rsid w:val="004B3FEE"/>
    <w:rsid w:val="004B5BBC"/>
    <w:rsid w:val="004B5C19"/>
    <w:rsid w:val="004C6462"/>
    <w:rsid w:val="004D0B2B"/>
    <w:rsid w:val="004D5729"/>
    <w:rsid w:val="004D574A"/>
    <w:rsid w:val="004D62F4"/>
    <w:rsid w:val="004E521B"/>
    <w:rsid w:val="004E55CC"/>
    <w:rsid w:val="004E7F33"/>
    <w:rsid w:val="004F505D"/>
    <w:rsid w:val="004F5324"/>
    <w:rsid w:val="004F5C86"/>
    <w:rsid w:val="004F6431"/>
    <w:rsid w:val="004F79DD"/>
    <w:rsid w:val="00500555"/>
    <w:rsid w:val="00502355"/>
    <w:rsid w:val="0050527B"/>
    <w:rsid w:val="00511619"/>
    <w:rsid w:val="00515099"/>
    <w:rsid w:val="00520000"/>
    <w:rsid w:val="00520941"/>
    <w:rsid w:val="00522526"/>
    <w:rsid w:val="0052442E"/>
    <w:rsid w:val="00525F58"/>
    <w:rsid w:val="0053292E"/>
    <w:rsid w:val="00536EAC"/>
    <w:rsid w:val="00542F26"/>
    <w:rsid w:val="00544959"/>
    <w:rsid w:val="0054580A"/>
    <w:rsid w:val="005461B8"/>
    <w:rsid w:val="0054788C"/>
    <w:rsid w:val="00550E17"/>
    <w:rsid w:val="00550EE8"/>
    <w:rsid w:val="005524F2"/>
    <w:rsid w:val="0055459A"/>
    <w:rsid w:val="005552D2"/>
    <w:rsid w:val="005564A5"/>
    <w:rsid w:val="00560430"/>
    <w:rsid w:val="005607D6"/>
    <w:rsid w:val="00561CAD"/>
    <w:rsid w:val="00563C69"/>
    <w:rsid w:val="00567DCE"/>
    <w:rsid w:val="00567F03"/>
    <w:rsid w:val="0057186D"/>
    <w:rsid w:val="0057198C"/>
    <w:rsid w:val="00572D3E"/>
    <w:rsid w:val="00584DC4"/>
    <w:rsid w:val="0059010B"/>
    <w:rsid w:val="0059073F"/>
    <w:rsid w:val="00591C61"/>
    <w:rsid w:val="0059235F"/>
    <w:rsid w:val="00592405"/>
    <w:rsid w:val="00593806"/>
    <w:rsid w:val="0059435E"/>
    <w:rsid w:val="00595EF0"/>
    <w:rsid w:val="005A1484"/>
    <w:rsid w:val="005A536A"/>
    <w:rsid w:val="005A7668"/>
    <w:rsid w:val="005A7FA2"/>
    <w:rsid w:val="005B0D3A"/>
    <w:rsid w:val="005B1BA2"/>
    <w:rsid w:val="005C4C74"/>
    <w:rsid w:val="005C7500"/>
    <w:rsid w:val="005C77FE"/>
    <w:rsid w:val="005C7EDB"/>
    <w:rsid w:val="005D3722"/>
    <w:rsid w:val="005D5082"/>
    <w:rsid w:val="005E04E3"/>
    <w:rsid w:val="005E1E4A"/>
    <w:rsid w:val="005E6103"/>
    <w:rsid w:val="005E7548"/>
    <w:rsid w:val="005E790A"/>
    <w:rsid w:val="005F08BA"/>
    <w:rsid w:val="005F1EE6"/>
    <w:rsid w:val="005F2D90"/>
    <w:rsid w:val="005F3A3B"/>
    <w:rsid w:val="005F4BB8"/>
    <w:rsid w:val="005F4EBD"/>
    <w:rsid w:val="006004FD"/>
    <w:rsid w:val="00603ABA"/>
    <w:rsid w:val="00603C2C"/>
    <w:rsid w:val="00606775"/>
    <w:rsid w:val="006139B1"/>
    <w:rsid w:val="006167B2"/>
    <w:rsid w:val="0061723D"/>
    <w:rsid w:val="00617F2B"/>
    <w:rsid w:val="0062308C"/>
    <w:rsid w:val="0062487D"/>
    <w:rsid w:val="00625AD9"/>
    <w:rsid w:val="0063109B"/>
    <w:rsid w:val="00631F61"/>
    <w:rsid w:val="006323D4"/>
    <w:rsid w:val="00632A80"/>
    <w:rsid w:val="00633171"/>
    <w:rsid w:val="00633772"/>
    <w:rsid w:val="0063468E"/>
    <w:rsid w:val="00635EC6"/>
    <w:rsid w:val="00635F42"/>
    <w:rsid w:val="00637944"/>
    <w:rsid w:val="00642326"/>
    <w:rsid w:val="00647154"/>
    <w:rsid w:val="006473CF"/>
    <w:rsid w:val="00650496"/>
    <w:rsid w:val="0065130B"/>
    <w:rsid w:val="006522CB"/>
    <w:rsid w:val="006550EB"/>
    <w:rsid w:val="00656351"/>
    <w:rsid w:val="00657672"/>
    <w:rsid w:val="00657F3A"/>
    <w:rsid w:val="006668AE"/>
    <w:rsid w:val="00667EC1"/>
    <w:rsid w:val="00671D9A"/>
    <w:rsid w:val="00672C34"/>
    <w:rsid w:val="006746EE"/>
    <w:rsid w:val="006761CE"/>
    <w:rsid w:val="00681BA5"/>
    <w:rsid w:val="006835FC"/>
    <w:rsid w:val="006836C5"/>
    <w:rsid w:val="00690A44"/>
    <w:rsid w:val="006910C4"/>
    <w:rsid w:val="006912BA"/>
    <w:rsid w:val="006A0FCB"/>
    <w:rsid w:val="006A1A4E"/>
    <w:rsid w:val="006A432F"/>
    <w:rsid w:val="006A4AC8"/>
    <w:rsid w:val="006A4DE0"/>
    <w:rsid w:val="006B0DB7"/>
    <w:rsid w:val="006B3412"/>
    <w:rsid w:val="006B34A2"/>
    <w:rsid w:val="006B352B"/>
    <w:rsid w:val="006B548F"/>
    <w:rsid w:val="006B7B3D"/>
    <w:rsid w:val="006C25D9"/>
    <w:rsid w:val="006C26E9"/>
    <w:rsid w:val="006C2793"/>
    <w:rsid w:val="006C3561"/>
    <w:rsid w:val="006C5314"/>
    <w:rsid w:val="006D68CD"/>
    <w:rsid w:val="006D6B47"/>
    <w:rsid w:val="006E01DC"/>
    <w:rsid w:val="006E1641"/>
    <w:rsid w:val="006E167D"/>
    <w:rsid w:val="006E1B52"/>
    <w:rsid w:val="006E4CBE"/>
    <w:rsid w:val="006E7B49"/>
    <w:rsid w:val="006F3A79"/>
    <w:rsid w:val="006F47FF"/>
    <w:rsid w:val="006F52A1"/>
    <w:rsid w:val="006F5E04"/>
    <w:rsid w:val="006F6D4A"/>
    <w:rsid w:val="007012C4"/>
    <w:rsid w:val="00702351"/>
    <w:rsid w:val="007032D3"/>
    <w:rsid w:val="00706789"/>
    <w:rsid w:val="0071084E"/>
    <w:rsid w:val="007170D6"/>
    <w:rsid w:val="007172ED"/>
    <w:rsid w:val="007207D8"/>
    <w:rsid w:val="00720F92"/>
    <w:rsid w:val="007223B7"/>
    <w:rsid w:val="00724152"/>
    <w:rsid w:val="00734865"/>
    <w:rsid w:val="00735287"/>
    <w:rsid w:val="00744402"/>
    <w:rsid w:val="00745B43"/>
    <w:rsid w:val="00747200"/>
    <w:rsid w:val="00751F20"/>
    <w:rsid w:val="00754F5B"/>
    <w:rsid w:val="00756489"/>
    <w:rsid w:val="00757D8E"/>
    <w:rsid w:val="007638E1"/>
    <w:rsid w:val="00763F19"/>
    <w:rsid w:val="00765753"/>
    <w:rsid w:val="00773F8D"/>
    <w:rsid w:val="007764E8"/>
    <w:rsid w:val="0077708C"/>
    <w:rsid w:val="00777299"/>
    <w:rsid w:val="00787914"/>
    <w:rsid w:val="0079123D"/>
    <w:rsid w:val="00792326"/>
    <w:rsid w:val="00794717"/>
    <w:rsid w:val="007956AC"/>
    <w:rsid w:val="007A1F3C"/>
    <w:rsid w:val="007A54FC"/>
    <w:rsid w:val="007B24A9"/>
    <w:rsid w:val="007B75AB"/>
    <w:rsid w:val="007C4434"/>
    <w:rsid w:val="007D1644"/>
    <w:rsid w:val="007D283E"/>
    <w:rsid w:val="007D46A1"/>
    <w:rsid w:val="007E1143"/>
    <w:rsid w:val="007E19C5"/>
    <w:rsid w:val="007E2B6E"/>
    <w:rsid w:val="007E65F6"/>
    <w:rsid w:val="007F04F5"/>
    <w:rsid w:val="007F285C"/>
    <w:rsid w:val="007F5370"/>
    <w:rsid w:val="007F6937"/>
    <w:rsid w:val="00801797"/>
    <w:rsid w:val="00802F58"/>
    <w:rsid w:val="00803E13"/>
    <w:rsid w:val="008117FA"/>
    <w:rsid w:val="00811906"/>
    <w:rsid w:val="008128A7"/>
    <w:rsid w:val="008150A9"/>
    <w:rsid w:val="00815231"/>
    <w:rsid w:val="008209FF"/>
    <w:rsid w:val="00821346"/>
    <w:rsid w:val="00821F94"/>
    <w:rsid w:val="008223EC"/>
    <w:rsid w:val="008234E6"/>
    <w:rsid w:val="0082658F"/>
    <w:rsid w:val="00826F1A"/>
    <w:rsid w:val="0083000A"/>
    <w:rsid w:val="008360E5"/>
    <w:rsid w:val="0084048F"/>
    <w:rsid w:val="0084388C"/>
    <w:rsid w:val="008453B4"/>
    <w:rsid w:val="00847370"/>
    <w:rsid w:val="0084749E"/>
    <w:rsid w:val="00853039"/>
    <w:rsid w:val="00857E03"/>
    <w:rsid w:val="00860FE0"/>
    <w:rsid w:val="008646EA"/>
    <w:rsid w:val="00865299"/>
    <w:rsid w:val="00866CA5"/>
    <w:rsid w:val="00870BA3"/>
    <w:rsid w:val="00872AA3"/>
    <w:rsid w:val="008758C9"/>
    <w:rsid w:val="0088734C"/>
    <w:rsid w:val="0089391F"/>
    <w:rsid w:val="00896E35"/>
    <w:rsid w:val="00897998"/>
    <w:rsid w:val="008A07E2"/>
    <w:rsid w:val="008A0A9E"/>
    <w:rsid w:val="008A1507"/>
    <w:rsid w:val="008A4CA6"/>
    <w:rsid w:val="008A5854"/>
    <w:rsid w:val="008A647B"/>
    <w:rsid w:val="008A685A"/>
    <w:rsid w:val="008A6C91"/>
    <w:rsid w:val="008B2522"/>
    <w:rsid w:val="008B3E9D"/>
    <w:rsid w:val="008C36DA"/>
    <w:rsid w:val="008C47B0"/>
    <w:rsid w:val="008C49A2"/>
    <w:rsid w:val="008C625B"/>
    <w:rsid w:val="008C715B"/>
    <w:rsid w:val="008C732B"/>
    <w:rsid w:val="008D14F0"/>
    <w:rsid w:val="008D2BD0"/>
    <w:rsid w:val="008D6915"/>
    <w:rsid w:val="008E17AC"/>
    <w:rsid w:val="008E1D0C"/>
    <w:rsid w:val="008E25DF"/>
    <w:rsid w:val="008E557A"/>
    <w:rsid w:val="008E6804"/>
    <w:rsid w:val="008E6C2F"/>
    <w:rsid w:val="008F0191"/>
    <w:rsid w:val="008F025C"/>
    <w:rsid w:val="008F205E"/>
    <w:rsid w:val="008F4C47"/>
    <w:rsid w:val="008F4F7F"/>
    <w:rsid w:val="008F5F10"/>
    <w:rsid w:val="009016FD"/>
    <w:rsid w:val="00901A90"/>
    <w:rsid w:val="00904943"/>
    <w:rsid w:val="0090674A"/>
    <w:rsid w:val="00912528"/>
    <w:rsid w:val="009201AC"/>
    <w:rsid w:val="00920483"/>
    <w:rsid w:val="009223D3"/>
    <w:rsid w:val="009230C5"/>
    <w:rsid w:val="00925137"/>
    <w:rsid w:val="00925B41"/>
    <w:rsid w:val="009269E5"/>
    <w:rsid w:val="00935100"/>
    <w:rsid w:val="009353A9"/>
    <w:rsid w:val="00936EB7"/>
    <w:rsid w:val="00941134"/>
    <w:rsid w:val="00942F8A"/>
    <w:rsid w:val="009433E2"/>
    <w:rsid w:val="00943B91"/>
    <w:rsid w:val="00943D54"/>
    <w:rsid w:val="00944CEA"/>
    <w:rsid w:val="00946786"/>
    <w:rsid w:val="00947B4B"/>
    <w:rsid w:val="009525C7"/>
    <w:rsid w:val="00952E0A"/>
    <w:rsid w:val="00953A1A"/>
    <w:rsid w:val="009543BC"/>
    <w:rsid w:val="00963513"/>
    <w:rsid w:val="00964852"/>
    <w:rsid w:val="00965532"/>
    <w:rsid w:val="00966454"/>
    <w:rsid w:val="009678FD"/>
    <w:rsid w:val="00972190"/>
    <w:rsid w:val="0097296D"/>
    <w:rsid w:val="00981876"/>
    <w:rsid w:val="00982B55"/>
    <w:rsid w:val="00983B55"/>
    <w:rsid w:val="00991DEC"/>
    <w:rsid w:val="00992D7C"/>
    <w:rsid w:val="00993DDA"/>
    <w:rsid w:val="00994C8D"/>
    <w:rsid w:val="00994E06"/>
    <w:rsid w:val="0099538D"/>
    <w:rsid w:val="00995462"/>
    <w:rsid w:val="0099737C"/>
    <w:rsid w:val="009A068C"/>
    <w:rsid w:val="009A6FF0"/>
    <w:rsid w:val="009B2C4E"/>
    <w:rsid w:val="009B4B2D"/>
    <w:rsid w:val="009B5325"/>
    <w:rsid w:val="009B5920"/>
    <w:rsid w:val="009B6AD7"/>
    <w:rsid w:val="009B79DD"/>
    <w:rsid w:val="009C0C0F"/>
    <w:rsid w:val="009C1DE9"/>
    <w:rsid w:val="009C2C75"/>
    <w:rsid w:val="009C7D2A"/>
    <w:rsid w:val="009D0401"/>
    <w:rsid w:val="009D4FEC"/>
    <w:rsid w:val="009D75B2"/>
    <w:rsid w:val="009E009A"/>
    <w:rsid w:val="009E02ED"/>
    <w:rsid w:val="009E35D9"/>
    <w:rsid w:val="009E3B21"/>
    <w:rsid w:val="009E49E0"/>
    <w:rsid w:val="009E4EEC"/>
    <w:rsid w:val="009E7CED"/>
    <w:rsid w:val="009F0840"/>
    <w:rsid w:val="009F683C"/>
    <w:rsid w:val="00A02F2C"/>
    <w:rsid w:val="00A04DB7"/>
    <w:rsid w:val="00A05342"/>
    <w:rsid w:val="00A073EB"/>
    <w:rsid w:val="00A07B64"/>
    <w:rsid w:val="00A1195A"/>
    <w:rsid w:val="00A11DC0"/>
    <w:rsid w:val="00A142F7"/>
    <w:rsid w:val="00A2259E"/>
    <w:rsid w:val="00A234F2"/>
    <w:rsid w:val="00A2622C"/>
    <w:rsid w:val="00A26D8D"/>
    <w:rsid w:val="00A32963"/>
    <w:rsid w:val="00A35DDB"/>
    <w:rsid w:val="00A374F4"/>
    <w:rsid w:val="00A41C84"/>
    <w:rsid w:val="00A47268"/>
    <w:rsid w:val="00A50C48"/>
    <w:rsid w:val="00A54B76"/>
    <w:rsid w:val="00A57768"/>
    <w:rsid w:val="00A614DB"/>
    <w:rsid w:val="00A662A2"/>
    <w:rsid w:val="00A71318"/>
    <w:rsid w:val="00A7419B"/>
    <w:rsid w:val="00A75510"/>
    <w:rsid w:val="00A81FF0"/>
    <w:rsid w:val="00A84F85"/>
    <w:rsid w:val="00A8683D"/>
    <w:rsid w:val="00A919E5"/>
    <w:rsid w:val="00AA2C26"/>
    <w:rsid w:val="00AA518A"/>
    <w:rsid w:val="00AA7FA7"/>
    <w:rsid w:val="00AB03C5"/>
    <w:rsid w:val="00AB45CE"/>
    <w:rsid w:val="00AB5271"/>
    <w:rsid w:val="00AB54B2"/>
    <w:rsid w:val="00AB6466"/>
    <w:rsid w:val="00AC0FA5"/>
    <w:rsid w:val="00AC115E"/>
    <w:rsid w:val="00AC2487"/>
    <w:rsid w:val="00AC4691"/>
    <w:rsid w:val="00AC4915"/>
    <w:rsid w:val="00AC4D95"/>
    <w:rsid w:val="00AC5BE3"/>
    <w:rsid w:val="00AD1109"/>
    <w:rsid w:val="00AD45E8"/>
    <w:rsid w:val="00AD5BBE"/>
    <w:rsid w:val="00AD7638"/>
    <w:rsid w:val="00AE0ABD"/>
    <w:rsid w:val="00AE35FF"/>
    <w:rsid w:val="00AE371E"/>
    <w:rsid w:val="00AE6CAB"/>
    <w:rsid w:val="00AE6EE4"/>
    <w:rsid w:val="00AE758A"/>
    <w:rsid w:val="00AF26BF"/>
    <w:rsid w:val="00AF2CB2"/>
    <w:rsid w:val="00AF2D80"/>
    <w:rsid w:val="00AF306E"/>
    <w:rsid w:val="00AF308B"/>
    <w:rsid w:val="00AF4C6C"/>
    <w:rsid w:val="00AF7199"/>
    <w:rsid w:val="00AF76D2"/>
    <w:rsid w:val="00AF78E1"/>
    <w:rsid w:val="00AF7C65"/>
    <w:rsid w:val="00B022B7"/>
    <w:rsid w:val="00B02A16"/>
    <w:rsid w:val="00B02BDC"/>
    <w:rsid w:val="00B036D5"/>
    <w:rsid w:val="00B10F5C"/>
    <w:rsid w:val="00B15C7D"/>
    <w:rsid w:val="00B17F63"/>
    <w:rsid w:val="00B23934"/>
    <w:rsid w:val="00B25527"/>
    <w:rsid w:val="00B33DF8"/>
    <w:rsid w:val="00B37C73"/>
    <w:rsid w:val="00B41B9B"/>
    <w:rsid w:val="00B47636"/>
    <w:rsid w:val="00B47F9A"/>
    <w:rsid w:val="00B54410"/>
    <w:rsid w:val="00B54AE2"/>
    <w:rsid w:val="00B56CA8"/>
    <w:rsid w:val="00B56D9A"/>
    <w:rsid w:val="00B602CF"/>
    <w:rsid w:val="00B63261"/>
    <w:rsid w:val="00B6537D"/>
    <w:rsid w:val="00B7282D"/>
    <w:rsid w:val="00B74953"/>
    <w:rsid w:val="00B80DF7"/>
    <w:rsid w:val="00B8140B"/>
    <w:rsid w:val="00B82FAC"/>
    <w:rsid w:val="00B83E3E"/>
    <w:rsid w:val="00B9543F"/>
    <w:rsid w:val="00BA6BBE"/>
    <w:rsid w:val="00BA7D5B"/>
    <w:rsid w:val="00BB0239"/>
    <w:rsid w:val="00BB109C"/>
    <w:rsid w:val="00BB17E5"/>
    <w:rsid w:val="00BB22F6"/>
    <w:rsid w:val="00BB2A7F"/>
    <w:rsid w:val="00BB5B48"/>
    <w:rsid w:val="00BB6530"/>
    <w:rsid w:val="00BB6C57"/>
    <w:rsid w:val="00BC1967"/>
    <w:rsid w:val="00BC1CBB"/>
    <w:rsid w:val="00BC7F9E"/>
    <w:rsid w:val="00BD2289"/>
    <w:rsid w:val="00BD2E8E"/>
    <w:rsid w:val="00BD56DA"/>
    <w:rsid w:val="00BD572D"/>
    <w:rsid w:val="00BD67EF"/>
    <w:rsid w:val="00BE111B"/>
    <w:rsid w:val="00BE2670"/>
    <w:rsid w:val="00BE2D1A"/>
    <w:rsid w:val="00BE4220"/>
    <w:rsid w:val="00BE462B"/>
    <w:rsid w:val="00BE5766"/>
    <w:rsid w:val="00BE6FAE"/>
    <w:rsid w:val="00BE72CA"/>
    <w:rsid w:val="00BF16D4"/>
    <w:rsid w:val="00BF178F"/>
    <w:rsid w:val="00BF3184"/>
    <w:rsid w:val="00BF5677"/>
    <w:rsid w:val="00BF7D57"/>
    <w:rsid w:val="00C028D6"/>
    <w:rsid w:val="00C04FA4"/>
    <w:rsid w:val="00C07D1E"/>
    <w:rsid w:val="00C10096"/>
    <w:rsid w:val="00C10EA5"/>
    <w:rsid w:val="00C133C7"/>
    <w:rsid w:val="00C15AF9"/>
    <w:rsid w:val="00C15BBA"/>
    <w:rsid w:val="00C22B19"/>
    <w:rsid w:val="00C244C9"/>
    <w:rsid w:val="00C248D6"/>
    <w:rsid w:val="00C26FF7"/>
    <w:rsid w:val="00C30BA6"/>
    <w:rsid w:val="00C324E3"/>
    <w:rsid w:val="00C36AC1"/>
    <w:rsid w:val="00C37270"/>
    <w:rsid w:val="00C4204C"/>
    <w:rsid w:val="00C53862"/>
    <w:rsid w:val="00C53BE2"/>
    <w:rsid w:val="00C5550D"/>
    <w:rsid w:val="00C567FF"/>
    <w:rsid w:val="00C5737F"/>
    <w:rsid w:val="00C60484"/>
    <w:rsid w:val="00C63750"/>
    <w:rsid w:val="00C64533"/>
    <w:rsid w:val="00C67709"/>
    <w:rsid w:val="00C72EF5"/>
    <w:rsid w:val="00C73162"/>
    <w:rsid w:val="00C739EA"/>
    <w:rsid w:val="00C74739"/>
    <w:rsid w:val="00C74BD7"/>
    <w:rsid w:val="00C76489"/>
    <w:rsid w:val="00C766A8"/>
    <w:rsid w:val="00C80229"/>
    <w:rsid w:val="00C877F8"/>
    <w:rsid w:val="00C90429"/>
    <w:rsid w:val="00CA3C99"/>
    <w:rsid w:val="00CA584D"/>
    <w:rsid w:val="00CB69E3"/>
    <w:rsid w:val="00CB752F"/>
    <w:rsid w:val="00CC0D29"/>
    <w:rsid w:val="00CC1950"/>
    <w:rsid w:val="00CC1BBD"/>
    <w:rsid w:val="00CC4CA7"/>
    <w:rsid w:val="00CC5EAE"/>
    <w:rsid w:val="00CC6D0E"/>
    <w:rsid w:val="00CD2BE1"/>
    <w:rsid w:val="00CD3EE9"/>
    <w:rsid w:val="00CD48FD"/>
    <w:rsid w:val="00CD7D91"/>
    <w:rsid w:val="00CE0018"/>
    <w:rsid w:val="00CE0433"/>
    <w:rsid w:val="00CE1C92"/>
    <w:rsid w:val="00CE3B67"/>
    <w:rsid w:val="00CF2E28"/>
    <w:rsid w:val="00CF3D72"/>
    <w:rsid w:val="00CF5E55"/>
    <w:rsid w:val="00CF7B17"/>
    <w:rsid w:val="00D04EA6"/>
    <w:rsid w:val="00D06E28"/>
    <w:rsid w:val="00D06F14"/>
    <w:rsid w:val="00D07661"/>
    <w:rsid w:val="00D15051"/>
    <w:rsid w:val="00D154F0"/>
    <w:rsid w:val="00D15C1C"/>
    <w:rsid w:val="00D2149D"/>
    <w:rsid w:val="00D21600"/>
    <w:rsid w:val="00D23AE0"/>
    <w:rsid w:val="00D23D5F"/>
    <w:rsid w:val="00D32C2E"/>
    <w:rsid w:val="00D371DA"/>
    <w:rsid w:val="00D376CA"/>
    <w:rsid w:val="00D40BD6"/>
    <w:rsid w:val="00D41822"/>
    <w:rsid w:val="00D46923"/>
    <w:rsid w:val="00D46BC1"/>
    <w:rsid w:val="00D506FE"/>
    <w:rsid w:val="00D5226D"/>
    <w:rsid w:val="00D53A10"/>
    <w:rsid w:val="00D543EA"/>
    <w:rsid w:val="00D54700"/>
    <w:rsid w:val="00D55548"/>
    <w:rsid w:val="00D556CA"/>
    <w:rsid w:val="00D605A0"/>
    <w:rsid w:val="00D60844"/>
    <w:rsid w:val="00D62507"/>
    <w:rsid w:val="00D65FAF"/>
    <w:rsid w:val="00D6696F"/>
    <w:rsid w:val="00D6773F"/>
    <w:rsid w:val="00D678C4"/>
    <w:rsid w:val="00D7163B"/>
    <w:rsid w:val="00D72A19"/>
    <w:rsid w:val="00D753B3"/>
    <w:rsid w:val="00D857FE"/>
    <w:rsid w:val="00D878B3"/>
    <w:rsid w:val="00D87BD2"/>
    <w:rsid w:val="00D938F6"/>
    <w:rsid w:val="00DA0695"/>
    <w:rsid w:val="00DA15A0"/>
    <w:rsid w:val="00DA39A3"/>
    <w:rsid w:val="00DA4309"/>
    <w:rsid w:val="00DA5591"/>
    <w:rsid w:val="00DA649F"/>
    <w:rsid w:val="00DB3E5C"/>
    <w:rsid w:val="00DB5098"/>
    <w:rsid w:val="00DB5945"/>
    <w:rsid w:val="00DC0B3C"/>
    <w:rsid w:val="00DC1F82"/>
    <w:rsid w:val="00DC43D4"/>
    <w:rsid w:val="00DC59D7"/>
    <w:rsid w:val="00DE4987"/>
    <w:rsid w:val="00DE5E7E"/>
    <w:rsid w:val="00DF06B1"/>
    <w:rsid w:val="00DF1C6B"/>
    <w:rsid w:val="00DF1EC3"/>
    <w:rsid w:val="00DF6DDB"/>
    <w:rsid w:val="00E00E4A"/>
    <w:rsid w:val="00E01D89"/>
    <w:rsid w:val="00E034EF"/>
    <w:rsid w:val="00E046C8"/>
    <w:rsid w:val="00E05B97"/>
    <w:rsid w:val="00E07335"/>
    <w:rsid w:val="00E07E44"/>
    <w:rsid w:val="00E11E74"/>
    <w:rsid w:val="00E13E18"/>
    <w:rsid w:val="00E1553F"/>
    <w:rsid w:val="00E30D4B"/>
    <w:rsid w:val="00E31409"/>
    <w:rsid w:val="00E31CC6"/>
    <w:rsid w:val="00E35C3E"/>
    <w:rsid w:val="00E367F1"/>
    <w:rsid w:val="00E42980"/>
    <w:rsid w:val="00E43F1F"/>
    <w:rsid w:val="00E4476D"/>
    <w:rsid w:val="00E459DF"/>
    <w:rsid w:val="00E4750E"/>
    <w:rsid w:val="00E47A1B"/>
    <w:rsid w:val="00E47C8A"/>
    <w:rsid w:val="00E511C9"/>
    <w:rsid w:val="00E54597"/>
    <w:rsid w:val="00E61265"/>
    <w:rsid w:val="00E6260C"/>
    <w:rsid w:val="00E63B8D"/>
    <w:rsid w:val="00E63C8C"/>
    <w:rsid w:val="00E650F8"/>
    <w:rsid w:val="00E733E9"/>
    <w:rsid w:val="00E74917"/>
    <w:rsid w:val="00E77CB7"/>
    <w:rsid w:val="00E77E19"/>
    <w:rsid w:val="00E81853"/>
    <w:rsid w:val="00E8375A"/>
    <w:rsid w:val="00E84CAB"/>
    <w:rsid w:val="00E85772"/>
    <w:rsid w:val="00E86735"/>
    <w:rsid w:val="00E95B2A"/>
    <w:rsid w:val="00E969C1"/>
    <w:rsid w:val="00E96DC6"/>
    <w:rsid w:val="00EA117E"/>
    <w:rsid w:val="00EA32EF"/>
    <w:rsid w:val="00EA712A"/>
    <w:rsid w:val="00EB0454"/>
    <w:rsid w:val="00EB4218"/>
    <w:rsid w:val="00EB47B9"/>
    <w:rsid w:val="00EB49D2"/>
    <w:rsid w:val="00EB51FC"/>
    <w:rsid w:val="00EB6589"/>
    <w:rsid w:val="00EC0F43"/>
    <w:rsid w:val="00EC55FF"/>
    <w:rsid w:val="00EC78EC"/>
    <w:rsid w:val="00ED244F"/>
    <w:rsid w:val="00ED633A"/>
    <w:rsid w:val="00EE0B8D"/>
    <w:rsid w:val="00EF5CF7"/>
    <w:rsid w:val="00EF725D"/>
    <w:rsid w:val="00F02C7F"/>
    <w:rsid w:val="00F056F5"/>
    <w:rsid w:val="00F10522"/>
    <w:rsid w:val="00F12383"/>
    <w:rsid w:val="00F12F31"/>
    <w:rsid w:val="00F1306F"/>
    <w:rsid w:val="00F16255"/>
    <w:rsid w:val="00F17B67"/>
    <w:rsid w:val="00F209F0"/>
    <w:rsid w:val="00F2667C"/>
    <w:rsid w:val="00F27656"/>
    <w:rsid w:val="00F335A5"/>
    <w:rsid w:val="00F35D75"/>
    <w:rsid w:val="00F449FF"/>
    <w:rsid w:val="00F44FF9"/>
    <w:rsid w:val="00F453B0"/>
    <w:rsid w:val="00F46924"/>
    <w:rsid w:val="00F46B92"/>
    <w:rsid w:val="00F55C8D"/>
    <w:rsid w:val="00F57308"/>
    <w:rsid w:val="00F57FF9"/>
    <w:rsid w:val="00F60461"/>
    <w:rsid w:val="00F615EF"/>
    <w:rsid w:val="00F61600"/>
    <w:rsid w:val="00F63618"/>
    <w:rsid w:val="00F65947"/>
    <w:rsid w:val="00F65FDE"/>
    <w:rsid w:val="00F660CC"/>
    <w:rsid w:val="00F74347"/>
    <w:rsid w:val="00F76C61"/>
    <w:rsid w:val="00F83C97"/>
    <w:rsid w:val="00F8485A"/>
    <w:rsid w:val="00F87557"/>
    <w:rsid w:val="00F87E04"/>
    <w:rsid w:val="00F9002A"/>
    <w:rsid w:val="00F906CE"/>
    <w:rsid w:val="00F93840"/>
    <w:rsid w:val="00F96651"/>
    <w:rsid w:val="00FA0A85"/>
    <w:rsid w:val="00FA1FA9"/>
    <w:rsid w:val="00FA30E8"/>
    <w:rsid w:val="00FA3416"/>
    <w:rsid w:val="00FA4936"/>
    <w:rsid w:val="00FA65B7"/>
    <w:rsid w:val="00FA6F11"/>
    <w:rsid w:val="00FA79EF"/>
    <w:rsid w:val="00FC2EFC"/>
    <w:rsid w:val="00FC3209"/>
    <w:rsid w:val="00FC3530"/>
    <w:rsid w:val="00FC460B"/>
    <w:rsid w:val="00FC65A4"/>
    <w:rsid w:val="00FD2271"/>
    <w:rsid w:val="00FD2A5B"/>
    <w:rsid w:val="00FD4190"/>
    <w:rsid w:val="00FD4CB0"/>
    <w:rsid w:val="00FE5E2E"/>
    <w:rsid w:val="00FE5EAC"/>
    <w:rsid w:val="00FE65B0"/>
    <w:rsid w:val="00FE6ACC"/>
    <w:rsid w:val="00FE6B5F"/>
    <w:rsid w:val="00FE7717"/>
    <w:rsid w:val="00FF06E1"/>
    <w:rsid w:val="00FF1EC5"/>
    <w:rsid w:val="00FF31EC"/>
    <w:rsid w:val="00FF641B"/>
    <w:rsid w:val="00FF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65A2"/>
  <w15:docId w15:val="{D90A348A-01E7-6445-B769-BEA618B7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E3E"/>
    <w:rPr>
      <w:rFonts w:ascii="Times New Roman" w:eastAsia="Times New Roman" w:hAnsi="Times New Roman" w:cs="Times New Roman"/>
    </w:rPr>
  </w:style>
  <w:style w:type="paragraph" w:styleId="Heading1">
    <w:name w:val="heading 1"/>
    <w:basedOn w:val="Normal"/>
    <w:link w:val="Heading1Char"/>
    <w:uiPriority w:val="9"/>
    <w:qFormat/>
    <w:rsid w:val="00BE422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4F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84F85"/>
    <w:rPr>
      <w:sz w:val="20"/>
      <w:szCs w:val="20"/>
    </w:rPr>
  </w:style>
  <w:style w:type="character" w:styleId="FootnoteReference">
    <w:name w:val="footnote reference"/>
    <w:basedOn w:val="DefaultParagraphFont"/>
    <w:uiPriority w:val="99"/>
    <w:semiHidden/>
    <w:unhideWhenUsed/>
    <w:rsid w:val="00A84F85"/>
    <w:rPr>
      <w:vertAlign w:val="superscript"/>
    </w:rPr>
  </w:style>
  <w:style w:type="paragraph" w:styleId="Header">
    <w:name w:val="header"/>
    <w:basedOn w:val="Normal"/>
    <w:link w:val="HeaderChar"/>
    <w:uiPriority w:val="99"/>
    <w:unhideWhenUsed/>
    <w:rsid w:val="00E77E1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77E19"/>
  </w:style>
  <w:style w:type="paragraph" w:styleId="Footer">
    <w:name w:val="footer"/>
    <w:basedOn w:val="Normal"/>
    <w:link w:val="FooterChar"/>
    <w:uiPriority w:val="99"/>
    <w:semiHidden/>
    <w:unhideWhenUsed/>
    <w:rsid w:val="00E77E1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E77E19"/>
  </w:style>
  <w:style w:type="paragraph" w:styleId="ListParagraph">
    <w:name w:val="List Paragraph"/>
    <w:basedOn w:val="Normal"/>
    <w:uiPriority w:val="34"/>
    <w:qFormat/>
    <w:rsid w:val="00280A3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1A3984"/>
    <w:rPr>
      <w:color w:val="0563C1" w:themeColor="hyperlink"/>
      <w:u w:val="single"/>
    </w:rPr>
  </w:style>
  <w:style w:type="character" w:customStyle="1" w:styleId="UnresolvedMention1">
    <w:name w:val="Unresolved Mention1"/>
    <w:basedOn w:val="DefaultParagraphFont"/>
    <w:uiPriority w:val="99"/>
    <w:semiHidden/>
    <w:unhideWhenUsed/>
    <w:rsid w:val="001A3984"/>
    <w:rPr>
      <w:color w:val="605E5C"/>
      <w:shd w:val="clear" w:color="auto" w:fill="E1DFDD"/>
    </w:rPr>
  </w:style>
  <w:style w:type="paragraph" w:styleId="NormalWeb">
    <w:name w:val="Normal (Web)"/>
    <w:basedOn w:val="Normal"/>
    <w:uiPriority w:val="99"/>
    <w:semiHidden/>
    <w:unhideWhenUsed/>
    <w:rsid w:val="004765BC"/>
    <w:rPr>
      <w:rFonts w:eastAsiaTheme="minorHAnsi"/>
    </w:rPr>
  </w:style>
  <w:style w:type="character" w:styleId="FollowedHyperlink">
    <w:name w:val="FollowedHyperlink"/>
    <w:basedOn w:val="DefaultParagraphFont"/>
    <w:uiPriority w:val="99"/>
    <w:semiHidden/>
    <w:unhideWhenUsed/>
    <w:rsid w:val="006835FC"/>
    <w:rPr>
      <w:color w:val="954F72" w:themeColor="followedHyperlink"/>
      <w:u w:val="single"/>
    </w:rPr>
  </w:style>
  <w:style w:type="character" w:customStyle="1" w:styleId="Heading1Char">
    <w:name w:val="Heading 1 Char"/>
    <w:basedOn w:val="DefaultParagraphFont"/>
    <w:link w:val="Heading1"/>
    <w:uiPriority w:val="9"/>
    <w:rsid w:val="00BE4220"/>
    <w:rPr>
      <w:rFonts w:ascii="Times New Roman" w:eastAsia="Times New Roman" w:hAnsi="Times New Roman" w:cs="Times New Roman"/>
      <w:b/>
      <w:bCs/>
      <w:kern w:val="36"/>
      <w:sz w:val="48"/>
      <w:szCs w:val="48"/>
    </w:rPr>
  </w:style>
  <w:style w:type="character" w:styleId="EndnoteReference">
    <w:name w:val="endnote reference"/>
    <w:basedOn w:val="DefaultParagraphFont"/>
    <w:uiPriority w:val="99"/>
    <w:semiHidden/>
    <w:unhideWhenUsed/>
    <w:rsid w:val="0089391F"/>
    <w:rPr>
      <w:vertAlign w:val="superscript"/>
    </w:rPr>
  </w:style>
  <w:style w:type="table" w:styleId="TableGrid">
    <w:name w:val="Table Grid"/>
    <w:basedOn w:val="TableNormal"/>
    <w:uiPriority w:val="39"/>
    <w:rsid w:val="006F5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21440B"/>
    <w:rPr>
      <w:color w:val="605E5C"/>
      <w:shd w:val="clear" w:color="auto" w:fill="E1DFDD"/>
    </w:rPr>
  </w:style>
  <w:style w:type="paragraph" w:styleId="NoSpacing">
    <w:name w:val="No Spacing"/>
    <w:uiPriority w:val="1"/>
    <w:qFormat/>
    <w:rsid w:val="0021440B"/>
  </w:style>
  <w:style w:type="paragraph" w:styleId="Caption">
    <w:name w:val="caption"/>
    <w:basedOn w:val="Normal"/>
    <w:next w:val="Normal"/>
    <w:uiPriority w:val="35"/>
    <w:unhideWhenUsed/>
    <w:qFormat/>
    <w:rsid w:val="00020337"/>
    <w:pPr>
      <w:spacing w:after="200"/>
    </w:pPr>
    <w:rPr>
      <w:rFonts w:asciiTheme="minorHAnsi" w:eastAsiaTheme="minorHAnsi" w:hAnsiTheme="minorHAnsi" w:cstheme="minorBidi"/>
      <w:i/>
      <w:iCs/>
      <w:color w:val="44546A" w:themeColor="text2"/>
      <w:sz w:val="18"/>
      <w:szCs w:val="18"/>
    </w:rPr>
  </w:style>
  <w:style w:type="character" w:styleId="UnresolvedMention">
    <w:name w:val="Unresolved Mention"/>
    <w:basedOn w:val="DefaultParagraphFont"/>
    <w:uiPriority w:val="99"/>
    <w:rsid w:val="000525F2"/>
    <w:rPr>
      <w:color w:val="605E5C"/>
      <w:shd w:val="clear" w:color="auto" w:fill="E1DFDD"/>
    </w:rPr>
  </w:style>
  <w:style w:type="paragraph" w:customStyle="1" w:styleId="Body">
    <w:name w:val="Body"/>
    <w:basedOn w:val="Normal"/>
    <w:link w:val="BodyChar"/>
    <w:qFormat/>
    <w:rsid w:val="00381A0B"/>
    <w:pPr>
      <w:tabs>
        <w:tab w:val="left" w:pos="720"/>
        <w:tab w:val="left" w:pos="1440"/>
        <w:tab w:val="left" w:pos="2160"/>
        <w:tab w:val="left" w:pos="2880"/>
        <w:tab w:val="left" w:pos="3600"/>
      </w:tabs>
      <w:snapToGrid w:val="0"/>
      <w:spacing w:line="480" w:lineRule="auto"/>
      <w:ind w:firstLine="720"/>
    </w:pPr>
    <w:rPr>
      <w:rFonts w:eastAsiaTheme="minorHAnsi" w:cs="Times New Roman (Body CS)"/>
    </w:rPr>
  </w:style>
  <w:style w:type="character" w:customStyle="1" w:styleId="BodyChar">
    <w:name w:val="Body Char"/>
    <w:basedOn w:val="DefaultParagraphFont"/>
    <w:link w:val="Body"/>
    <w:rsid w:val="00381A0B"/>
    <w:rPr>
      <w:rFonts w:ascii="Times New Roman" w:hAnsi="Times New Roman" w:cs="Times New Roman (Body CS)"/>
    </w:rPr>
  </w:style>
  <w:style w:type="paragraph" w:customStyle="1" w:styleId="Table-Source">
    <w:name w:val="Table-Source"/>
    <w:basedOn w:val="Normal"/>
    <w:next w:val="Body"/>
    <w:qFormat/>
    <w:rsid w:val="00381A0B"/>
    <w:pPr>
      <w:tabs>
        <w:tab w:val="left" w:pos="720"/>
        <w:tab w:val="left" w:pos="1440"/>
        <w:tab w:val="left" w:pos="2160"/>
        <w:tab w:val="left" w:pos="2880"/>
        <w:tab w:val="left" w:pos="3600"/>
      </w:tabs>
      <w:spacing w:after="480"/>
    </w:pPr>
    <w:rPr>
      <w:rFonts w:eastAsiaTheme="minorHAnsi" w:cs="Times New Roman (Body CS)"/>
      <w:i/>
      <w:iCs/>
    </w:rPr>
  </w:style>
  <w:style w:type="paragraph" w:customStyle="1" w:styleId="TableTitle">
    <w:name w:val="Table Title"/>
    <w:basedOn w:val="Normal"/>
    <w:qFormat/>
    <w:rsid w:val="00381A0B"/>
    <w:pPr>
      <w:tabs>
        <w:tab w:val="left" w:pos="720"/>
        <w:tab w:val="left" w:pos="1440"/>
        <w:tab w:val="left" w:pos="2160"/>
        <w:tab w:val="left" w:pos="2880"/>
        <w:tab w:val="left" w:pos="3600"/>
      </w:tabs>
      <w:spacing w:before="240"/>
    </w:pPr>
    <w:rPr>
      <w:rFonts w:eastAsiaTheme="minorHAnsi" w:cs="Times New Roman (Body CS)"/>
      <w:b/>
    </w:rPr>
  </w:style>
  <w:style w:type="paragraph" w:customStyle="1" w:styleId="Heading-Title">
    <w:name w:val="Heading-Title"/>
    <w:basedOn w:val="Normal"/>
    <w:next w:val="Body"/>
    <w:qFormat/>
    <w:rsid w:val="00603ABA"/>
    <w:pPr>
      <w:keepNext/>
      <w:pageBreakBefore/>
      <w:tabs>
        <w:tab w:val="left" w:pos="720"/>
        <w:tab w:val="left" w:pos="1440"/>
        <w:tab w:val="left" w:pos="2160"/>
        <w:tab w:val="left" w:pos="2880"/>
        <w:tab w:val="left" w:pos="3600"/>
      </w:tabs>
      <w:spacing w:after="480"/>
      <w:contextualSpacing/>
      <w:jc w:val="center"/>
      <w:outlineLvl w:val="1"/>
    </w:pPr>
    <w:rPr>
      <w:rFonts w:eastAsiaTheme="minorHAnsi" w:cs="Times New Roman (Body CS)"/>
      <w:b/>
    </w:rPr>
  </w:style>
  <w:style w:type="character" w:styleId="CommentReference">
    <w:name w:val="annotation reference"/>
    <w:basedOn w:val="DefaultParagraphFont"/>
    <w:uiPriority w:val="99"/>
    <w:semiHidden/>
    <w:unhideWhenUsed/>
    <w:rsid w:val="00603ABA"/>
    <w:rPr>
      <w:sz w:val="16"/>
      <w:szCs w:val="16"/>
    </w:rPr>
  </w:style>
  <w:style w:type="paragraph" w:customStyle="1" w:styleId="TitlePage-Title">
    <w:name w:val="Title Page-Title"/>
    <w:basedOn w:val="Normal"/>
    <w:next w:val="Body"/>
    <w:qFormat/>
    <w:rsid w:val="0084048F"/>
    <w:pPr>
      <w:tabs>
        <w:tab w:val="left" w:pos="720"/>
        <w:tab w:val="left" w:pos="1440"/>
        <w:tab w:val="left" w:pos="2160"/>
        <w:tab w:val="left" w:pos="2880"/>
        <w:tab w:val="left" w:pos="3600"/>
      </w:tabs>
      <w:spacing w:before="3480" w:line="480" w:lineRule="auto"/>
      <w:jc w:val="center"/>
    </w:pPr>
    <w:rPr>
      <w:rFonts w:eastAsiaTheme="minorHAnsi" w:cs="Times New Roman (Body CS)"/>
      <w:b/>
    </w:rPr>
  </w:style>
  <w:style w:type="paragraph" w:customStyle="1" w:styleId="TitlePage-Subtitle">
    <w:name w:val="Title Page-Subtitle"/>
    <w:basedOn w:val="TitlePage-Title"/>
    <w:next w:val="Body"/>
    <w:qFormat/>
    <w:rsid w:val="0084048F"/>
    <w:pPr>
      <w:spacing w:before="0"/>
    </w:pPr>
  </w:style>
  <w:style w:type="paragraph" w:customStyle="1" w:styleId="TitlePage-Bottom">
    <w:name w:val="Title Page-Bottom"/>
    <w:basedOn w:val="Normal"/>
    <w:qFormat/>
    <w:rsid w:val="0084048F"/>
    <w:pPr>
      <w:tabs>
        <w:tab w:val="left" w:pos="720"/>
        <w:tab w:val="left" w:pos="1440"/>
        <w:tab w:val="left" w:pos="2160"/>
        <w:tab w:val="left" w:pos="2880"/>
        <w:tab w:val="left" w:pos="3600"/>
      </w:tabs>
      <w:spacing w:before="4080" w:line="480" w:lineRule="auto"/>
      <w:contextualSpacing/>
      <w:jc w:val="center"/>
    </w:pPr>
    <w:rPr>
      <w:rFonts w:eastAsiaTheme="minorHAnsi" w:cs="Times New Roman (Body CS)"/>
    </w:rPr>
  </w:style>
  <w:style w:type="paragraph" w:styleId="CommentText">
    <w:name w:val="annotation text"/>
    <w:basedOn w:val="Normal"/>
    <w:link w:val="CommentTextChar"/>
    <w:uiPriority w:val="99"/>
    <w:semiHidden/>
    <w:unhideWhenUsed/>
    <w:rsid w:val="0084048F"/>
    <w:pPr>
      <w:tabs>
        <w:tab w:val="left" w:pos="720"/>
        <w:tab w:val="left" w:pos="1440"/>
        <w:tab w:val="left" w:pos="2160"/>
        <w:tab w:val="left" w:pos="2880"/>
        <w:tab w:val="left" w:pos="3600"/>
      </w:tabs>
    </w:pPr>
    <w:rPr>
      <w:rFonts w:eastAsiaTheme="minorHAnsi" w:cs="Times New Roman (Body CS)"/>
      <w:sz w:val="20"/>
      <w:szCs w:val="20"/>
    </w:rPr>
  </w:style>
  <w:style w:type="character" w:customStyle="1" w:styleId="CommentTextChar">
    <w:name w:val="Comment Text Char"/>
    <w:basedOn w:val="DefaultParagraphFont"/>
    <w:link w:val="CommentText"/>
    <w:uiPriority w:val="99"/>
    <w:semiHidden/>
    <w:rsid w:val="0084048F"/>
    <w:rPr>
      <w:rFonts w:ascii="Times New Roman" w:hAnsi="Times New Roman" w:cs="Times New Roman (Body CS)"/>
      <w:sz w:val="20"/>
      <w:szCs w:val="20"/>
    </w:rPr>
  </w:style>
  <w:style w:type="character" w:styleId="PageNumber">
    <w:name w:val="page number"/>
    <w:basedOn w:val="DefaultParagraphFont"/>
    <w:uiPriority w:val="99"/>
    <w:semiHidden/>
    <w:unhideWhenUsed/>
    <w:rsid w:val="006E167D"/>
  </w:style>
  <w:style w:type="paragraph" w:styleId="EndnoteText">
    <w:name w:val="endnote text"/>
    <w:basedOn w:val="Normal"/>
    <w:link w:val="EndnoteTextChar"/>
    <w:uiPriority w:val="99"/>
    <w:unhideWhenUsed/>
    <w:rsid w:val="0053292E"/>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53292E"/>
    <w:rPr>
      <w:sz w:val="20"/>
      <w:szCs w:val="20"/>
    </w:rPr>
  </w:style>
  <w:style w:type="paragraph" w:styleId="Revision">
    <w:name w:val="Revision"/>
    <w:hidden/>
    <w:uiPriority w:val="99"/>
    <w:semiHidden/>
    <w:rsid w:val="00F44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2909">
      <w:bodyDiv w:val="1"/>
      <w:marLeft w:val="0"/>
      <w:marRight w:val="0"/>
      <w:marTop w:val="0"/>
      <w:marBottom w:val="0"/>
      <w:divBdr>
        <w:top w:val="none" w:sz="0" w:space="0" w:color="auto"/>
        <w:left w:val="none" w:sz="0" w:space="0" w:color="auto"/>
        <w:bottom w:val="none" w:sz="0" w:space="0" w:color="auto"/>
        <w:right w:val="none" w:sz="0" w:space="0" w:color="auto"/>
      </w:divBdr>
    </w:div>
    <w:div w:id="131868042">
      <w:bodyDiv w:val="1"/>
      <w:marLeft w:val="0"/>
      <w:marRight w:val="0"/>
      <w:marTop w:val="0"/>
      <w:marBottom w:val="0"/>
      <w:divBdr>
        <w:top w:val="none" w:sz="0" w:space="0" w:color="auto"/>
        <w:left w:val="none" w:sz="0" w:space="0" w:color="auto"/>
        <w:bottom w:val="none" w:sz="0" w:space="0" w:color="auto"/>
        <w:right w:val="none" w:sz="0" w:space="0" w:color="auto"/>
      </w:divBdr>
      <w:divsChild>
        <w:div w:id="615134555">
          <w:marLeft w:val="480"/>
          <w:marRight w:val="0"/>
          <w:marTop w:val="0"/>
          <w:marBottom w:val="0"/>
          <w:divBdr>
            <w:top w:val="none" w:sz="0" w:space="0" w:color="auto"/>
            <w:left w:val="none" w:sz="0" w:space="0" w:color="auto"/>
            <w:bottom w:val="none" w:sz="0" w:space="0" w:color="auto"/>
            <w:right w:val="none" w:sz="0" w:space="0" w:color="auto"/>
          </w:divBdr>
          <w:divsChild>
            <w:div w:id="7686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091">
      <w:bodyDiv w:val="1"/>
      <w:marLeft w:val="0"/>
      <w:marRight w:val="0"/>
      <w:marTop w:val="0"/>
      <w:marBottom w:val="0"/>
      <w:divBdr>
        <w:top w:val="none" w:sz="0" w:space="0" w:color="auto"/>
        <w:left w:val="none" w:sz="0" w:space="0" w:color="auto"/>
        <w:bottom w:val="none" w:sz="0" w:space="0" w:color="auto"/>
        <w:right w:val="none" w:sz="0" w:space="0" w:color="auto"/>
      </w:divBdr>
    </w:div>
    <w:div w:id="150828143">
      <w:bodyDiv w:val="1"/>
      <w:marLeft w:val="0"/>
      <w:marRight w:val="0"/>
      <w:marTop w:val="0"/>
      <w:marBottom w:val="0"/>
      <w:divBdr>
        <w:top w:val="none" w:sz="0" w:space="0" w:color="auto"/>
        <w:left w:val="none" w:sz="0" w:space="0" w:color="auto"/>
        <w:bottom w:val="none" w:sz="0" w:space="0" w:color="auto"/>
        <w:right w:val="none" w:sz="0" w:space="0" w:color="auto"/>
      </w:divBdr>
    </w:div>
    <w:div w:id="218710194">
      <w:bodyDiv w:val="1"/>
      <w:marLeft w:val="0"/>
      <w:marRight w:val="0"/>
      <w:marTop w:val="0"/>
      <w:marBottom w:val="0"/>
      <w:divBdr>
        <w:top w:val="none" w:sz="0" w:space="0" w:color="auto"/>
        <w:left w:val="none" w:sz="0" w:space="0" w:color="auto"/>
        <w:bottom w:val="none" w:sz="0" w:space="0" w:color="auto"/>
        <w:right w:val="none" w:sz="0" w:space="0" w:color="auto"/>
      </w:divBdr>
    </w:div>
    <w:div w:id="231894399">
      <w:bodyDiv w:val="1"/>
      <w:marLeft w:val="0"/>
      <w:marRight w:val="0"/>
      <w:marTop w:val="0"/>
      <w:marBottom w:val="0"/>
      <w:divBdr>
        <w:top w:val="none" w:sz="0" w:space="0" w:color="auto"/>
        <w:left w:val="none" w:sz="0" w:space="0" w:color="auto"/>
        <w:bottom w:val="none" w:sz="0" w:space="0" w:color="auto"/>
        <w:right w:val="none" w:sz="0" w:space="0" w:color="auto"/>
      </w:divBdr>
    </w:div>
    <w:div w:id="258875438">
      <w:bodyDiv w:val="1"/>
      <w:marLeft w:val="0"/>
      <w:marRight w:val="0"/>
      <w:marTop w:val="0"/>
      <w:marBottom w:val="0"/>
      <w:divBdr>
        <w:top w:val="none" w:sz="0" w:space="0" w:color="auto"/>
        <w:left w:val="none" w:sz="0" w:space="0" w:color="auto"/>
        <w:bottom w:val="none" w:sz="0" w:space="0" w:color="auto"/>
        <w:right w:val="none" w:sz="0" w:space="0" w:color="auto"/>
      </w:divBdr>
    </w:div>
    <w:div w:id="272909902">
      <w:bodyDiv w:val="1"/>
      <w:marLeft w:val="0"/>
      <w:marRight w:val="0"/>
      <w:marTop w:val="0"/>
      <w:marBottom w:val="0"/>
      <w:divBdr>
        <w:top w:val="none" w:sz="0" w:space="0" w:color="auto"/>
        <w:left w:val="none" w:sz="0" w:space="0" w:color="auto"/>
        <w:bottom w:val="none" w:sz="0" w:space="0" w:color="auto"/>
        <w:right w:val="none" w:sz="0" w:space="0" w:color="auto"/>
      </w:divBdr>
    </w:div>
    <w:div w:id="273171303">
      <w:bodyDiv w:val="1"/>
      <w:marLeft w:val="0"/>
      <w:marRight w:val="0"/>
      <w:marTop w:val="0"/>
      <w:marBottom w:val="0"/>
      <w:divBdr>
        <w:top w:val="none" w:sz="0" w:space="0" w:color="auto"/>
        <w:left w:val="none" w:sz="0" w:space="0" w:color="auto"/>
        <w:bottom w:val="none" w:sz="0" w:space="0" w:color="auto"/>
        <w:right w:val="none" w:sz="0" w:space="0" w:color="auto"/>
      </w:divBdr>
    </w:div>
    <w:div w:id="275257103">
      <w:bodyDiv w:val="1"/>
      <w:marLeft w:val="0"/>
      <w:marRight w:val="0"/>
      <w:marTop w:val="0"/>
      <w:marBottom w:val="0"/>
      <w:divBdr>
        <w:top w:val="none" w:sz="0" w:space="0" w:color="auto"/>
        <w:left w:val="none" w:sz="0" w:space="0" w:color="auto"/>
        <w:bottom w:val="none" w:sz="0" w:space="0" w:color="auto"/>
        <w:right w:val="none" w:sz="0" w:space="0" w:color="auto"/>
      </w:divBdr>
    </w:div>
    <w:div w:id="449935774">
      <w:bodyDiv w:val="1"/>
      <w:marLeft w:val="0"/>
      <w:marRight w:val="0"/>
      <w:marTop w:val="0"/>
      <w:marBottom w:val="0"/>
      <w:divBdr>
        <w:top w:val="none" w:sz="0" w:space="0" w:color="auto"/>
        <w:left w:val="none" w:sz="0" w:space="0" w:color="auto"/>
        <w:bottom w:val="none" w:sz="0" w:space="0" w:color="auto"/>
        <w:right w:val="none" w:sz="0" w:space="0" w:color="auto"/>
      </w:divBdr>
    </w:div>
    <w:div w:id="482821058">
      <w:bodyDiv w:val="1"/>
      <w:marLeft w:val="0"/>
      <w:marRight w:val="0"/>
      <w:marTop w:val="0"/>
      <w:marBottom w:val="0"/>
      <w:divBdr>
        <w:top w:val="none" w:sz="0" w:space="0" w:color="auto"/>
        <w:left w:val="none" w:sz="0" w:space="0" w:color="auto"/>
        <w:bottom w:val="none" w:sz="0" w:space="0" w:color="auto"/>
        <w:right w:val="none" w:sz="0" w:space="0" w:color="auto"/>
      </w:divBdr>
    </w:div>
    <w:div w:id="553541170">
      <w:bodyDiv w:val="1"/>
      <w:marLeft w:val="0"/>
      <w:marRight w:val="0"/>
      <w:marTop w:val="0"/>
      <w:marBottom w:val="0"/>
      <w:divBdr>
        <w:top w:val="none" w:sz="0" w:space="0" w:color="auto"/>
        <w:left w:val="none" w:sz="0" w:space="0" w:color="auto"/>
        <w:bottom w:val="none" w:sz="0" w:space="0" w:color="auto"/>
        <w:right w:val="none" w:sz="0" w:space="0" w:color="auto"/>
      </w:divBdr>
    </w:div>
    <w:div w:id="561520518">
      <w:bodyDiv w:val="1"/>
      <w:marLeft w:val="0"/>
      <w:marRight w:val="0"/>
      <w:marTop w:val="0"/>
      <w:marBottom w:val="0"/>
      <w:divBdr>
        <w:top w:val="none" w:sz="0" w:space="0" w:color="auto"/>
        <w:left w:val="none" w:sz="0" w:space="0" w:color="auto"/>
        <w:bottom w:val="none" w:sz="0" w:space="0" w:color="auto"/>
        <w:right w:val="none" w:sz="0" w:space="0" w:color="auto"/>
      </w:divBdr>
    </w:div>
    <w:div w:id="604339888">
      <w:bodyDiv w:val="1"/>
      <w:marLeft w:val="0"/>
      <w:marRight w:val="0"/>
      <w:marTop w:val="0"/>
      <w:marBottom w:val="0"/>
      <w:divBdr>
        <w:top w:val="none" w:sz="0" w:space="0" w:color="auto"/>
        <w:left w:val="none" w:sz="0" w:space="0" w:color="auto"/>
        <w:bottom w:val="none" w:sz="0" w:space="0" w:color="auto"/>
        <w:right w:val="none" w:sz="0" w:space="0" w:color="auto"/>
      </w:divBdr>
    </w:div>
    <w:div w:id="768159576">
      <w:bodyDiv w:val="1"/>
      <w:marLeft w:val="0"/>
      <w:marRight w:val="0"/>
      <w:marTop w:val="0"/>
      <w:marBottom w:val="0"/>
      <w:divBdr>
        <w:top w:val="none" w:sz="0" w:space="0" w:color="auto"/>
        <w:left w:val="none" w:sz="0" w:space="0" w:color="auto"/>
        <w:bottom w:val="none" w:sz="0" w:space="0" w:color="auto"/>
        <w:right w:val="none" w:sz="0" w:space="0" w:color="auto"/>
      </w:divBdr>
    </w:div>
    <w:div w:id="798379396">
      <w:bodyDiv w:val="1"/>
      <w:marLeft w:val="0"/>
      <w:marRight w:val="0"/>
      <w:marTop w:val="0"/>
      <w:marBottom w:val="0"/>
      <w:divBdr>
        <w:top w:val="none" w:sz="0" w:space="0" w:color="auto"/>
        <w:left w:val="none" w:sz="0" w:space="0" w:color="auto"/>
        <w:bottom w:val="none" w:sz="0" w:space="0" w:color="auto"/>
        <w:right w:val="none" w:sz="0" w:space="0" w:color="auto"/>
      </w:divBdr>
    </w:div>
    <w:div w:id="800224601">
      <w:bodyDiv w:val="1"/>
      <w:marLeft w:val="0"/>
      <w:marRight w:val="0"/>
      <w:marTop w:val="0"/>
      <w:marBottom w:val="0"/>
      <w:divBdr>
        <w:top w:val="none" w:sz="0" w:space="0" w:color="auto"/>
        <w:left w:val="none" w:sz="0" w:space="0" w:color="auto"/>
        <w:bottom w:val="none" w:sz="0" w:space="0" w:color="auto"/>
        <w:right w:val="none" w:sz="0" w:space="0" w:color="auto"/>
      </w:divBdr>
    </w:div>
    <w:div w:id="800609083">
      <w:bodyDiv w:val="1"/>
      <w:marLeft w:val="0"/>
      <w:marRight w:val="0"/>
      <w:marTop w:val="0"/>
      <w:marBottom w:val="0"/>
      <w:divBdr>
        <w:top w:val="none" w:sz="0" w:space="0" w:color="auto"/>
        <w:left w:val="none" w:sz="0" w:space="0" w:color="auto"/>
        <w:bottom w:val="none" w:sz="0" w:space="0" w:color="auto"/>
        <w:right w:val="none" w:sz="0" w:space="0" w:color="auto"/>
      </w:divBdr>
    </w:div>
    <w:div w:id="824517726">
      <w:bodyDiv w:val="1"/>
      <w:marLeft w:val="0"/>
      <w:marRight w:val="0"/>
      <w:marTop w:val="0"/>
      <w:marBottom w:val="0"/>
      <w:divBdr>
        <w:top w:val="none" w:sz="0" w:space="0" w:color="auto"/>
        <w:left w:val="none" w:sz="0" w:space="0" w:color="auto"/>
        <w:bottom w:val="none" w:sz="0" w:space="0" w:color="auto"/>
        <w:right w:val="none" w:sz="0" w:space="0" w:color="auto"/>
      </w:divBdr>
    </w:div>
    <w:div w:id="865286624">
      <w:bodyDiv w:val="1"/>
      <w:marLeft w:val="0"/>
      <w:marRight w:val="0"/>
      <w:marTop w:val="0"/>
      <w:marBottom w:val="0"/>
      <w:divBdr>
        <w:top w:val="none" w:sz="0" w:space="0" w:color="auto"/>
        <w:left w:val="none" w:sz="0" w:space="0" w:color="auto"/>
        <w:bottom w:val="none" w:sz="0" w:space="0" w:color="auto"/>
        <w:right w:val="none" w:sz="0" w:space="0" w:color="auto"/>
      </w:divBdr>
      <w:divsChild>
        <w:div w:id="925924802">
          <w:marLeft w:val="480"/>
          <w:marRight w:val="0"/>
          <w:marTop w:val="0"/>
          <w:marBottom w:val="0"/>
          <w:divBdr>
            <w:top w:val="none" w:sz="0" w:space="0" w:color="auto"/>
            <w:left w:val="none" w:sz="0" w:space="0" w:color="auto"/>
            <w:bottom w:val="none" w:sz="0" w:space="0" w:color="auto"/>
            <w:right w:val="none" w:sz="0" w:space="0" w:color="auto"/>
          </w:divBdr>
          <w:divsChild>
            <w:div w:id="17365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4694">
      <w:bodyDiv w:val="1"/>
      <w:marLeft w:val="0"/>
      <w:marRight w:val="0"/>
      <w:marTop w:val="0"/>
      <w:marBottom w:val="0"/>
      <w:divBdr>
        <w:top w:val="none" w:sz="0" w:space="0" w:color="auto"/>
        <w:left w:val="none" w:sz="0" w:space="0" w:color="auto"/>
        <w:bottom w:val="none" w:sz="0" w:space="0" w:color="auto"/>
        <w:right w:val="none" w:sz="0" w:space="0" w:color="auto"/>
      </w:divBdr>
    </w:div>
    <w:div w:id="874197529">
      <w:bodyDiv w:val="1"/>
      <w:marLeft w:val="0"/>
      <w:marRight w:val="0"/>
      <w:marTop w:val="0"/>
      <w:marBottom w:val="0"/>
      <w:divBdr>
        <w:top w:val="none" w:sz="0" w:space="0" w:color="auto"/>
        <w:left w:val="none" w:sz="0" w:space="0" w:color="auto"/>
        <w:bottom w:val="none" w:sz="0" w:space="0" w:color="auto"/>
        <w:right w:val="none" w:sz="0" w:space="0" w:color="auto"/>
      </w:divBdr>
    </w:div>
    <w:div w:id="883322811">
      <w:bodyDiv w:val="1"/>
      <w:marLeft w:val="0"/>
      <w:marRight w:val="0"/>
      <w:marTop w:val="0"/>
      <w:marBottom w:val="0"/>
      <w:divBdr>
        <w:top w:val="none" w:sz="0" w:space="0" w:color="auto"/>
        <w:left w:val="none" w:sz="0" w:space="0" w:color="auto"/>
        <w:bottom w:val="none" w:sz="0" w:space="0" w:color="auto"/>
        <w:right w:val="none" w:sz="0" w:space="0" w:color="auto"/>
      </w:divBdr>
    </w:div>
    <w:div w:id="899554831">
      <w:bodyDiv w:val="1"/>
      <w:marLeft w:val="0"/>
      <w:marRight w:val="0"/>
      <w:marTop w:val="0"/>
      <w:marBottom w:val="0"/>
      <w:divBdr>
        <w:top w:val="none" w:sz="0" w:space="0" w:color="auto"/>
        <w:left w:val="none" w:sz="0" w:space="0" w:color="auto"/>
        <w:bottom w:val="none" w:sz="0" w:space="0" w:color="auto"/>
        <w:right w:val="none" w:sz="0" w:space="0" w:color="auto"/>
      </w:divBdr>
    </w:div>
    <w:div w:id="961692624">
      <w:bodyDiv w:val="1"/>
      <w:marLeft w:val="0"/>
      <w:marRight w:val="0"/>
      <w:marTop w:val="0"/>
      <w:marBottom w:val="0"/>
      <w:divBdr>
        <w:top w:val="none" w:sz="0" w:space="0" w:color="auto"/>
        <w:left w:val="none" w:sz="0" w:space="0" w:color="auto"/>
        <w:bottom w:val="none" w:sz="0" w:space="0" w:color="auto"/>
        <w:right w:val="none" w:sz="0" w:space="0" w:color="auto"/>
      </w:divBdr>
    </w:div>
    <w:div w:id="1058476524">
      <w:bodyDiv w:val="1"/>
      <w:marLeft w:val="0"/>
      <w:marRight w:val="0"/>
      <w:marTop w:val="0"/>
      <w:marBottom w:val="0"/>
      <w:divBdr>
        <w:top w:val="none" w:sz="0" w:space="0" w:color="auto"/>
        <w:left w:val="none" w:sz="0" w:space="0" w:color="auto"/>
        <w:bottom w:val="none" w:sz="0" w:space="0" w:color="auto"/>
        <w:right w:val="none" w:sz="0" w:space="0" w:color="auto"/>
      </w:divBdr>
    </w:div>
    <w:div w:id="1059550161">
      <w:bodyDiv w:val="1"/>
      <w:marLeft w:val="0"/>
      <w:marRight w:val="0"/>
      <w:marTop w:val="0"/>
      <w:marBottom w:val="0"/>
      <w:divBdr>
        <w:top w:val="none" w:sz="0" w:space="0" w:color="auto"/>
        <w:left w:val="none" w:sz="0" w:space="0" w:color="auto"/>
        <w:bottom w:val="none" w:sz="0" w:space="0" w:color="auto"/>
        <w:right w:val="none" w:sz="0" w:space="0" w:color="auto"/>
      </w:divBdr>
    </w:div>
    <w:div w:id="1176724776">
      <w:bodyDiv w:val="1"/>
      <w:marLeft w:val="0"/>
      <w:marRight w:val="0"/>
      <w:marTop w:val="0"/>
      <w:marBottom w:val="0"/>
      <w:divBdr>
        <w:top w:val="none" w:sz="0" w:space="0" w:color="auto"/>
        <w:left w:val="none" w:sz="0" w:space="0" w:color="auto"/>
        <w:bottom w:val="none" w:sz="0" w:space="0" w:color="auto"/>
        <w:right w:val="none" w:sz="0" w:space="0" w:color="auto"/>
      </w:divBdr>
    </w:div>
    <w:div w:id="1256472215">
      <w:bodyDiv w:val="1"/>
      <w:marLeft w:val="0"/>
      <w:marRight w:val="0"/>
      <w:marTop w:val="0"/>
      <w:marBottom w:val="0"/>
      <w:divBdr>
        <w:top w:val="none" w:sz="0" w:space="0" w:color="auto"/>
        <w:left w:val="none" w:sz="0" w:space="0" w:color="auto"/>
        <w:bottom w:val="none" w:sz="0" w:space="0" w:color="auto"/>
        <w:right w:val="none" w:sz="0" w:space="0" w:color="auto"/>
      </w:divBdr>
    </w:div>
    <w:div w:id="1290893285">
      <w:bodyDiv w:val="1"/>
      <w:marLeft w:val="0"/>
      <w:marRight w:val="0"/>
      <w:marTop w:val="0"/>
      <w:marBottom w:val="0"/>
      <w:divBdr>
        <w:top w:val="none" w:sz="0" w:space="0" w:color="auto"/>
        <w:left w:val="none" w:sz="0" w:space="0" w:color="auto"/>
        <w:bottom w:val="none" w:sz="0" w:space="0" w:color="auto"/>
        <w:right w:val="none" w:sz="0" w:space="0" w:color="auto"/>
      </w:divBdr>
    </w:div>
    <w:div w:id="1294359889">
      <w:bodyDiv w:val="1"/>
      <w:marLeft w:val="0"/>
      <w:marRight w:val="0"/>
      <w:marTop w:val="0"/>
      <w:marBottom w:val="0"/>
      <w:divBdr>
        <w:top w:val="none" w:sz="0" w:space="0" w:color="auto"/>
        <w:left w:val="none" w:sz="0" w:space="0" w:color="auto"/>
        <w:bottom w:val="none" w:sz="0" w:space="0" w:color="auto"/>
        <w:right w:val="none" w:sz="0" w:space="0" w:color="auto"/>
      </w:divBdr>
    </w:div>
    <w:div w:id="1315719061">
      <w:bodyDiv w:val="1"/>
      <w:marLeft w:val="0"/>
      <w:marRight w:val="0"/>
      <w:marTop w:val="0"/>
      <w:marBottom w:val="0"/>
      <w:divBdr>
        <w:top w:val="none" w:sz="0" w:space="0" w:color="auto"/>
        <w:left w:val="none" w:sz="0" w:space="0" w:color="auto"/>
        <w:bottom w:val="none" w:sz="0" w:space="0" w:color="auto"/>
        <w:right w:val="none" w:sz="0" w:space="0" w:color="auto"/>
      </w:divBdr>
    </w:div>
    <w:div w:id="1317878255">
      <w:bodyDiv w:val="1"/>
      <w:marLeft w:val="0"/>
      <w:marRight w:val="0"/>
      <w:marTop w:val="0"/>
      <w:marBottom w:val="0"/>
      <w:divBdr>
        <w:top w:val="none" w:sz="0" w:space="0" w:color="auto"/>
        <w:left w:val="none" w:sz="0" w:space="0" w:color="auto"/>
        <w:bottom w:val="none" w:sz="0" w:space="0" w:color="auto"/>
        <w:right w:val="none" w:sz="0" w:space="0" w:color="auto"/>
      </w:divBdr>
    </w:div>
    <w:div w:id="1340695768">
      <w:bodyDiv w:val="1"/>
      <w:marLeft w:val="0"/>
      <w:marRight w:val="0"/>
      <w:marTop w:val="0"/>
      <w:marBottom w:val="0"/>
      <w:divBdr>
        <w:top w:val="none" w:sz="0" w:space="0" w:color="auto"/>
        <w:left w:val="none" w:sz="0" w:space="0" w:color="auto"/>
        <w:bottom w:val="none" w:sz="0" w:space="0" w:color="auto"/>
        <w:right w:val="none" w:sz="0" w:space="0" w:color="auto"/>
      </w:divBdr>
      <w:divsChild>
        <w:div w:id="1329138968">
          <w:marLeft w:val="480"/>
          <w:marRight w:val="0"/>
          <w:marTop w:val="0"/>
          <w:marBottom w:val="0"/>
          <w:divBdr>
            <w:top w:val="none" w:sz="0" w:space="0" w:color="auto"/>
            <w:left w:val="none" w:sz="0" w:space="0" w:color="auto"/>
            <w:bottom w:val="none" w:sz="0" w:space="0" w:color="auto"/>
            <w:right w:val="none" w:sz="0" w:space="0" w:color="auto"/>
          </w:divBdr>
          <w:divsChild>
            <w:div w:id="20683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1688">
      <w:bodyDiv w:val="1"/>
      <w:marLeft w:val="0"/>
      <w:marRight w:val="0"/>
      <w:marTop w:val="0"/>
      <w:marBottom w:val="0"/>
      <w:divBdr>
        <w:top w:val="none" w:sz="0" w:space="0" w:color="auto"/>
        <w:left w:val="none" w:sz="0" w:space="0" w:color="auto"/>
        <w:bottom w:val="none" w:sz="0" w:space="0" w:color="auto"/>
        <w:right w:val="none" w:sz="0" w:space="0" w:color="auto"/>
      </w:divBdr>
    </w:div>
    <w:div w:id="1586304716">
      <w:bodyDiv w:val="1"/>
      <w:marLeft w:val="0"/>
      <w:marRight w:val="0"/>
      <w:marTop w:val="0"/>
      <w:marBottom w:val="0"/>
      <w:divBdr>
        <w:top w:val="none" w:sz="0" w:space="0" w:color="auto"/>
        <w:left w:val="none" w:sz="0" w:space="0" w:color="auto"/>
        <w:bottom w:val="none" w:sz="0" w:space="0" w:color="auto"/>
        <w:right w:val="none" w:sz="0" w:space="0" w:color="auto"/>
      </w:divBdr>
    </w:div>
    <w:div w:id="1622566660">
      <w:bodyDiv w:val="1"/>
      <w:marLeft w:val="0"/>
      <w:marRight w:val="0"/>
      <w:marTop w:val="0"/>
      <w:marBottom w:val="0"/>
      <w:divBdr>
        <w:top w:val="none" w:sz="0" w:space="0" w:color="auto"/>
        <w:left w:val="none" w:sz="0" w:space="0" w:color="auto"/>
        <w:bottom w:val="none" w:sz="0" w:space="0" w:color="auto"/>
        <w:right w:val="none" w:sz="0" w:space="0" w:color="auto"/>
      </w:divBdr>
    </w:div>
    <w:div w:id="1640837926">
      <w:bodyDiv w:val="1"/>
      <w:marLeft w:val="0"/>
      <w:marRight w:val="0"/>
      <w:marTop w:val="0"/>
      <w:marBottom w:val="0"/>
      <w:divBdr>
        <w:top w:val="none" w:sz="0" w:space="0" w:color="auto"/>
        <w:left w:val="none" w:sz="0" w:space="0" w:color="auto"/>
        <w:bottom w:val="none" w:sz="0" w:space="0" w:color="auto"/>
        <w:right w:val="none" w:sz="0" w:space="0" w:color="auto"/>
      </w:divBdr>
      <w:divsChild>
        <w:div w:id="1306356059">
          <w:marLeft w:val="0"/>
          <w:marRight w:val="0"/>
          <w:marTop w:val="0"/>
          <w:marBottom w:val="0"/>
          <w:divBdr>
            <w:top w:val="none" w:sz="0" w:space="0" w:color="auto"/>
            <w:left w:val="none" w:sz="0" w:space="0" w:color="auto"/>
            <w:bottom w:val="none" w:sz="0" w:space="0" w:color="auto"/>
            <w:right w:val="none" w:sz="0" w:space="0" w:color="auto"/>
          </w:divBdr>
          <w:divsChild>
            <w:div w:id="1519849899">
              <w:marLeft w:val="0"/>
              <w:marRight w:val="0"/>
              <w:marTop w:val="0"/>
              <w:marBottom w:val="0"/>
              <w:divBdr>
                <w:top w:val="none" w:sz="0" w:space="0" w:color="auto"/>
                <w:left w:val="none" w:sz="0" w:space="0" w:color="auto"/>
                <w:bottom w:val="none" w:sz="0" w:space="0" w:color="auto"/>
                <w:right w:val="none" w:sz="0" w:space="0" w:color="auto"/>
              </w:divBdr>
              <w:divsChild>
                <w:div w:id="437337298">
                  <w:marLeft w:val="0"/>
                  <w:marRight w:val="0"/>
                  <w:marTop w:val="0"/>
                  <w:marBottom w:val="0"/>
                  <w:divBdr>
                    <w:top w:val="none" w:sz="0" w:space="0" w:color="auto"/>
                    <w:left w:val="none" w:sz="0" w:space="0" w:color="auto"/>
                    <w:bottom w:val="none" w:sz="0" w:space="0" w:color="auto"/>
                    <w:right w:val="none" w:sz="0" w:space="0" w:color="auto"/>
                  </w:divBdr>
                  <w:divsChild>
                    <w:div w:id="5680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738805">
      <w:bodyDiv w:val="1"/>
      <w:marLeft w:val="0"/>
      <w:marRight w:val="0"/>
      <w:marTop w:val="0"/>
      <w:marBottom w:val="0"/>
      <w:divBdr>
        <w:top w:val="none" w:sz="0" w:space="0" w:color="auto"/>
        <w:left w:val="none" w:sz="0" w:space="0" w:color="auto"/>
        <w:bottom w:val="none" w:sz="0" w:space="0" w:color="auto"/>
        <w:right w:val="none" w:sz="0" w:space="0" w:color="auto"/>
      </w:divBdr>
    </w:div>
    <w:div w:id="1796824115">
      <w:bodyDiv w:val="1"/>
      <w:marLeft w:val="0"/>
      <w:marRight w:val="0"/>
      <w:marTop w:val="0"/>
      <w:marBottom w:val="0"/>
      <w:divBdr>
        <w:top w:val="none" w:sz="0" w:space="0" w:color="auto"/>
        <w:left w:val="none" w:sz="0" w:space="0" w:color="auto"/>
        <w:bottom w:val="none" w:sz="0" w:space="0" w:color="auto"/>
        <w:right w:val="none" w:sz="0" w:space="0" w:color="auto"/>
      </w:divBdr>
    </w:div>
    <w:div w:id="1820877475">
      <w:bodyDiv w:val="1"/>
      <w:marLeft w:val="0"/>
      <w:marRight w:val="0"/>
      <w:marTop w:val="0"/>
      <w:marBottom w:val="0"/>
      <w:divBdr>
        <w:top w:val="none" w:sz="0" w:space="0" w:color="auto"/>
        <w:left w:val="none" w:sz="0" w:space="0" w:color="auto"/>
        <w:bottom w:val="none" w:sz="0" w:space="0" w:color="auto"/>
        <w:right w:val="none" w:sz="0" w:space="0" w:color="auto"/>
      </w:divBdr>
    </w:div>
    <w:div w:id="1838810929">
      <w:bodyDiv w:val="1"/>
      <w:marLeft w:val="0"/>
      <w:marRight w:val="0"/>
      <w:marTop w:val="0"/>
      <w:marBottom w:val="0"/>
      <w:divBdr>
        <w:top w:val="none" w:sz="0" w:space="0" w:color="auto"/>
        <w:left w:val="none" w:sz="0" w:space="0" w:color="auto"/>
        <w:bottom w:val="none" w:sz="0" w:space="0" w:color="auto"/>
        <w:right w:val="none" w:sz="0" w:space="0" w:color="auto"/>
      </w:divBdr>
    </w:div>
    <w:div w:id="1889997920">
      <w:bodyDiv w:val="1"/>
      <w:marLeft w:val="0"/>
      <w:marRight w:val="0"/>
      <w:marTop w:val="0"/>
      <w:marBottom w:val="0"/>
      <w:divBdr>
        <w:top w:val="none" w:sz="0" w:space="0" w:color="auto"/>
        <w:left w:val="none" w:sz="0" w:space="0" w:color="auto"/>
        <w:bottom w:val="none" w:sz="0" w:space="0" w:color="auto"/>
        <w:right w:val="none" w:sz="0" w:space="0" w:color="auto"/>
      </w:divBdr>
    </w:div>
    <w:div w:id="1902248843">
      <w:bodyDiv w:val="1"/>
      <w:marLeft w:val="0"/>
      <w:marRight w:val="0"/>
      <w:marTop w:val="0"/>
      <w:marBottom w:val="0"/>
      <w:divBdr>
        <w:top w:val="none" w:sz="0" w:space="0" w:color="auto"/>
        <w:left w:val="none" w:sz="0" w:space="0" w:color="auto"/>
        <w:bottom w:val="none" w:sz="0" w:space="0" w:color="auto"/>
        <w:right w:val="none" w:sz="0" w:space="0" w:color="auto"/>
      </w:divBdr>
    </w:div>
    <w:div w:id="1931506649">
      <w:bodyDiv w:val="1"/>
      <w:marLeft w:val="0"/>
      <w:marRight w:val="0"/>
      <w:marTop w:val="0"/>
      <w:marBottom w:val="0"/>
      <w:divBdr>
        <w:top w:val="none" w:sz="0" w:space="0" w:color="auto"/>
        <w:left w:val="none" w:sz="0" w:space="0" w:color="auto"/>
        <w:bottom w:val="none" w:sz="0" w:space="0" w:color="auto"/>
        <w:right w:val="none" w:sz="0" w:space="0" w:color="auto"/>
      </w:divBdr>
    </w:div>
    <w:div w:id="1992900017">
      <w:bodyDiv w:val="1"/>
      <w:marLeft w:val="0"/>
      <w:marRight w:val="0"/>
      <w:marTop w:val="0"/>
      <w:marBottom w:val="0"/>
      <w:divBdr>
        <w:top w:val="none" w:sz="0" w:space="0" w:color="auto"/>
        <w:left w:val="none" w:sz="0" w:space="0" w:color="auto"/>
        <w:bottom w:val="none" w:sz="0" w:space="0" w:color="auto"/>
        <w:right w:val="none" w:sz="0" w:space="0" w:color="auto"/>
      </w:divBdr>
      <w:divsChild>
        <w:div w:id="1088119494">
          <w:marLeft w:val="480"/>
          <w:marRight w:val="0"/>
          <w:marTop w:val="0"/>
          <w:marBottom w:val="0"/>
          <w:divBdr>
            <w:top w:val="none" w:sz="0" w:space="0" w:color="auto"/>
            <w:left w:val="none" w:sz="0" w:space="0" w:color="auto"/>
            <w:bottom w:val="none" w:sz="0" w:space="0" w:color="auto"/>
            <w:right w:val="none" w:sz="0" w:space="0" w:color="auto"/>
          </w:divBdr>
          <w:divsChild>
            <w:div w:id="11684144">
              <w:marLeft w:val="0"/>
              <w:marRight w:val="0"/>
              <w:marTop w:val="0"/>
              <w:marBottom w:val="240"/>
              <w:divBdr>
                <w:top w:val="none" w:sz="0" w:space="0" w:color="auto"/>
                <w:left w:val="none" w:sz="0" w:space="0" w:color="auto"/>
                <w:bottom w:val="none" w:sz="0" w:space="0" w:color="auto"/>
                <w:right w:val="none" w:sz="0" w:space="0" w:color="auto"/>
              </w:divBdr>
            </w:div>
            <w:div w:id="15620559">
              <w:marLeft w:val="0"/>
              <w:marRight w:val="0"/>
              <w:marTop w:val="0"/>
              <w:marBottom w:val="240"/>
              <w:divBdr>
                <w:top w:val="none" w:sz="0" w:space="0" w:color="auto"/>
                <w:left w:val="none" w:sz="0" w:space="0" w:color="auto"/>
                <w:bottom w:val="none" w:sz="0" w:space="0" w:color="auto"/>
                <w:right w:val="none" w:sz="0" w:space="0" w:color="auto"/>
              </w:divBdr>
            </w:div>
            <w:div w:id="38408119">
              <w:marLeft w:val="0"/>
              <w:marRight w:val="0"/>
              <w:marTop w:val="0"/>
              <w:marBottom w:val="240"/>
              <w:divBdr>
                <w:top w:val="none" w:sz="0" w:space="0" w:color="auto"/>
                <w:left w:val="none" w:sz="0" w:space="0" w:color="auto"/>
                <w:bottom w:val="none" w:sz="0" w:space="0" w:color="auto"/>
                <w:right w:val="none" w:sz="0" w:space="0" w:color="auto"/>
              </w:divBdr>
            </w:div>
            <w:div w:id="42604654">
              <w:marLeft w:val="0"/>
              <w:marRight w:val="0"/>
              <w:marTop w:val="0"/>
              <w:marBottom w:val="240"/>
              <w:divBdr>
                <w:top w:val="none" w:sz="0" w:space="0" w:color="auto"/>
                <w:left w:val="none" w:sz="0" w:space="0" w:color="auto"/>
                <w:bottom w:val="none" w:sz="0" w:space="0" w:color="auto"/>
                <w:right w:val="none" w:sz="0" w:space="0" w:color="auto"/>
              </w:divBdr>
            </w:div>
            <w:div w:id="59982615">
              <w:marLeft w:val="0"/>
              <w:marRight w:val="0"/>
              <w:marTop w:val="0"/>
              <w:marBottom w:val="240"/>
              <w:divBdr>
                <w:top w:val="none" w:sz="0" w:space="0" w:color="auto"/>
                <w:left w:val="none" w:sz="0" w:space="0" w:color="auto"/>
                <w:bottom w:val="none" w:sz="0" w:space="0" w:color="auto"/>
                <w:right w:val="none" w:sz="0" w:space="0" w:color="auto"/>
              </w:divBdr>
            </w:div>
            <w:div w:id="68428805">
              <w:marLeft w:val="0"/>
              <w:marRight w:val="0"/>
              <w:marTop w:val="0"/>
              <w:marBottom w:val="240"/>
              <w:divBdr>
                <w:top w:val="none" w:sz="0" w:space="0" w:color="auto"/>
                <w:left w:val="none" w:sz="0" w:space="0" w:color="auto"/>
                <w:bottom w:val="none" w:sz="0" w:space="0" w:color="auto"/>
                <w:right w:val="none" w:sz="0" w:space="0" w:color="auto"/>
              </w:divBdr>
            </w:div>
            <w:div w:id="91975621">
              <w:marLeft w:val="0"/>
              <w:marRight w:val="0"/>
              <w:marTop w:val="0"/>
              <w:marBottom w:val="240"/>
              <w:divBdr>
                <w:top w:val="none" w:sz="0" w:space="0" w:color="auto"/>
                <w:left w:val="none" w:sz="0" w:space="0" w:color="auto"/>
                <w:bottom w:val="none" w:sz="0" w:space="0" w:color="auto"/>
                <w:right w:val="none" w:sz="0" w:space="0" w:color="auto"/>
              </w:divBdr>
            </w:div>
            <w:div w:id="158235906">
              <w:marLeft w:val="0"/>
              <w:marRight w:val="0"/>
              <w:marTop w:val="0"/>
              <w:marBottom w:val="240"/>
              <w:divBdr>
                <w:top w:val="none" w:sz="0" w:space="0" w:color="auto"/>
                <w:left w:val="none" w:sz="0" w:space="0" w:color="auto"/>
                <w:bottom w:val="none" w:sz="0" w:space="0" w:color="auto"/>
                <w:right w:val="none" w:sz="0" w:space="0" w:color="auto"/>
              </w:divBdr>
            </w:div>
            <w:div w:id="169415758">
              <w:marLeft w:val="0"/>
              <w:marRight w:val="0"/>
              <w:marTop w:val="0"/>
              <w:marBottom w:val="240"/>
              <w:divBdr>
                <w:top w:val="none" w:sz="0" w:space="0" w:color="auto"/>
                <w:left w:val="none" w:sz="0" w:space="0" w:color="auto"/>
                <w:bottom w:val="none" w:sz="0" w:space="0" w:color="auto"/>
                <w:right w:val="none" w:sz="0" w:space="0" w:color="auto"/>
              </w:divBdr>
            </w:div>
            <w:div w:id="191383089">
              <w:marLeft w:val="0"/>
              <w:marRight w:val="0"/>
              <w:marTop w:val="0"/>
              <w:marBottom w:val="240"/>
              <w:divBdr>
                <w:top w:val="none" w:sz="0" w:space="0" w:color="auto"/>
                <w:left w:val="none" w:sz="0" w:space="0" w:color="auto"/>
                <w:bottom w:val="none" w:sz="0" w:space="0" w:color="auto"/>
                <w:right w:val="none" w:sz="0" w:space="0" w:color="auto"/>
              </w:divBdr>
            </w:div>
            <w:div w:id="247814526">
              <w:marLeft w:val="0"/>
              <w:marRight w:val="0"/>
              <w:marTop w:val="0"/>
              <w:marBottom w:val="240"/>
              <w:divBdr>
                <w:top w:val="none" w:sz="0" w:space="0" w:color="auto"/>
                <w:left w:val="none" w:sz="0" w:space="0" w:color="auto"/>
                <w:bottom w:val="none" w:sz="0" w:space="0" w:color="auto"/>
                <w:right w:val="none" w:sz="0" w:space="0" w:color="auto"/>
              </w:divBdr>
            </w:div>
            <w:div w:id="249655470">
              <w:marLeft w:val="0"/>
              <w:marRight w:val="0"/>
              <w:marTop w:val="0"/>
              <w:marBottom w:val="240"/>
              <w:divBdr>
                <w:top w:val="none" w:sz="0" w:space="0" w:color="auto"/>
                <w:left w:val="none" w:sz="0" w:space="0" w:color="auto"/>
                <w:bottom w:val="none" w:sz="0" w:space="0" w:color="auto"/>
                <w:right w:val="none" w:sz="0" w:space="0" w:color="auto"/>
              </w:divBdr>
            </w:div>
            <w:div w:id="353000186">
              <w:marLeft w:val="0"/>
              <w:marRight w:val="0"/>
              <w:marTop w:val="0"/>
              <w:marBottom w:val="240"/>
              <w:divBdr>
                <w:top w:val="none" w:sz="0" w:space="0" w:color="auto"/>
                <w:left w:val="none" w:sz="0" w:space="0" w:color="auto"/>
                <w:bottom w:val="none" w:sz="0" w:space="0" w:color="auto"/>
                <w:right w:val="none" w:sz="0" w:space="0" w:color="auto"/>
              </w:divBdr>
            </w:div>
            <w:div w:id="428935784">
              <w:marLeft w:val="0"/>
              <w:marRight w:val="0"/>
              <w:marTop w:val="0"/>
              <w:marBottom w:val="240"/>
              <w:divBdr>
                <w:top w:val="none" w:sz="0" w:space="0" w:color="auto"/>
                <w:left w:val="none" w:sz="0" w:space="0" w:color="auto"/>
                <w:bottom w:val="none" w:sz="0" w:space="0" w:color="auto"/>
                <w:right w:val="none" w:sz="0" w:space="0" w:color="auto"/>
              </w:divBdr>
            </w:div>
            <w:div w:id="435100383">
              <w:marLeft w:val="0"/>
              <w:marRight w:val="0"/>
              <w:marTop w:val="0"/>
              <w:marBottom w:val="240"/>
              <w:divBdr>
                <w:top w:val="none" w:sz="0" w:space="0" w:color="auto"/>
                <w:left w:val="none" w:sz="0" w:space="0" w:color="auto"/>
                <w:bottom w:val="none" w:sz="0" w:space="0" w:color="auto"/>
                <w:right w:val="none" w:sz="0" w:space="0" w:color="auto"/>
              </w:divBdr>
            </w:div>
            <w:div w:id="527525881">
              <w:marLeft w:val="0"/>
              <w:marRight w:val="0"/>
              <w:marTop w:val="0"/>
              <w:marBottom w:val="240"/>
              <w:divBdr>
                <w:top w:val="none" w:sz="0" w:space="0" w:color="auto"/>
                <w:left w:val="none" w:sz="0" w:space="0" w:color="auto"/>
                <w:bottom w:val="none" w:sz="0" w:space="0" w:color="auto"/>
                <w:right w:val="none" w:sz="0" w:space="0" w:color="auto"/>
              </w:divBdr>
            </w:div>
            <w:div w:id="572815205">
              <w:marLeft w:val="0"/>
              <w:marRight w:val="0"/>
              <w:marTop w:val="0"/>
              <w:marBottom w:val="240"/>
              <w:divBdr>
                <w:top w:val="none" w:sz="0" w:space="0" w:color="auto"/>
                <w:left w:val="none" w:sz="0" w:space="0" w:color="auto"/>
                <w:bottom w:val="none" w:sz="0" w:space="0" w:color="auto"/>
                <w:right w:val="none" w:sz="0" w:space="0" w:color="auto"/>
              </w:divBdr>
            </w:div>
            <w:div w:id="722481187">
              <w:marLeft w:val="0"/>
              <w:marRight w:val="0"/>
              <w:marTop w:val="0"/>
              <w:marBottom w:val="240"/>
              <w:divBdr>
                <w:top w:val="none" w:sz="0" w:space="0" w:color="auto"/>
                <w:left w:val="none" w:sz="0" w:space="0" w:color="auto"/>
                <w:bottom w:val="none" w:sz="0" w:space="0" w:color="auto"/>
                <w:right w:val="none" w:sz="0" w:space="0" w:color="auto"/>
              </w:divBdr>
            </w:div>
            <w:div w:id="847863748">
              <w:marLeft w:val="0"/>
              <w:marRight w:val="0"/>
              <w:marTop w:val="0"/>
              <w:marBottom w:val="240"/>
              <w:divBdr>
                <w:top w:val="none" w:sz="0" w:space="0" w:color="auto"/>
                <w:left w:val="none" w:sz="0" w:space="0" w:color="auto"/>
                <w:bottom w:val="none" w:sz="0" w:space="0" w:color="auto"/>
                <w:right w:val="none" w:sz="0" w:space="0" w:color="auto"/>
              </w:divBdr>
            </w:div>
            <w:div w:id="848758362">
              <w:marLeft w:val="0"/>
              <w:marRight w:val="0"/>
              <w:marTop w:val="0"/>
              <w:marBottom w:val="240"/>
              <w:divBdr>
                <w:top w:val="none" w:sz="0" w:space="0" w:color="auto"/>
                <w:left w:val="none" w:sz="0" w:space="0" w:color="auto"/>
                <w:bottom w:val="none" w:sz="0" w:space="0" w:color="auto"/>
                <w:right w:val="none" w:sz="0" w:space="0" w:color="auto"/>
              </w:divBdr>
            </w:div>
            <w:div w:id="891844425">
              <w:marLeft w:val="0"/>
              <w:marRight w:val="0"/>
              <w:marTop w:val="0"/>
              <w:marBottom w:val="240"/>
              <w:divBdr>
                <w:top w:val="none" w:sz="0" w:space="0" w:color="auto"/>
                <w:left w:val="none" w:sz="0" w:space="0" w:color="auto"/>
                <w:bottom w:val="none" w:sz="0" w:space="0" w:color="auto"/>
                <w:right w:val="none" w:sz="0" w:space="0" w:color="auto"/>
              </w:divBdr>
            </w:div>
            <w:div w:id="901020917">
              <w:marLeft w:val="0"/>
              <w:marRight w:val="0"/>
              <w:marTop w:val="0"/>
              <w:marBottom w:val="240"/>
              <w:divBdr>
                <w:top w:val="none" w:sz="0" w:space="0" w:color="auto"/>
                <w:left w:val="none" w:sz="0" w:space="0" w:color="auto"/>
                <w:bottom w:val="none" w:sz="0" w:space="0" w:color="auto"/>
                <w:right w:val="none" w:sz="0" w:space="0" w:color="auto"/>
              </w:divBdr>
            </w:div>
            <w:div w:id="949506950">
              <w:marLeft w:val="0"/>
              <w:marRight w:val="0"/>
              <w:marTop w:val="0"/>
              <w:marBottom w:val="240"/>
              <w:divBdr>
                <w:top w:val="none" w:sz="0" w:space="0" w:color="auto"/>
                <w:left w:val="none" w:sz="0" w:space="0" w:color="auto"/>
                <w:bottom w:val="none" w:sz="0" w:space="0" w:color="auto"/>
                <w:right w:val="none" w:sz="0" w:space="0" w:color="auto"/>
              </w:divBdr>
            </w:div>
            <w:div w:id="976840768">
              <w:marLeft w:val="0"/>
              <w:marRight w:val="0"/>
              <w:marTop w:val="0"/>
              <w:marBottom w:val="240"/>
              <w:divBdr>
                <w:top w:val="none" w:sz="0" w:space="0" w:color="auto"/>
                <w:left w:val="none" w:sz="0" w:space="0" w:color="auto"/>
                <w:bottom w:val="none" w:sz="0" w:space="0" w:color="auto"/>
                <w:right w:val="none" w:sz="0" w:space="0" w:color="auto"/>
              </w:divBdr>
            </w:div>
            <w:div w:id="984972006">
              <w:marLeft w:val="0"/>
              <w:marRight w:val="0"/>
              <w:marTop w:val="0"/>
              <w:marBottom w:val="240"/>
              <w:divBdr>
                <w:top w:val="none" w:sz="0" w:space="0" w:color="auto"/>
                <w:left w:val="none" w:sz="0" w:space="0" w:color="auto"/>
                <w:bottom w:val="none" w:sz="0" w:space="0" w:color="auto"/>
                <w:right w:val="none" w:sz="0" w:space="0" w:color="auto"/>
              </w:divBdr>
            </w:div>
            <w:div w:id="992833678">
              <w:marLeft w:val="0"/>
              <w:marRight w:val="0"/>
              <w:marTop w:val="0"/>
              <w:marBottom w:val="240"/>
              <w:divBdr>
                <w:top w:val="none" w:sz="0" w:space="0" w:color="auto"/>
                <w:left w:val="none" w:sz="0" w:space="0" w:color="auto"/>
                <w:bottom w:val="none" w:sz="0" w:space="0" w:color="auto"/>
                <w:right w:val="none" w:sz="0" w:space="0" w:color="auto"/>
              </w:divBdr>
            </w:div>
            <w:div w:id="1001857899">
              <w:marLeft w:val="0"/>
              <w:marRight w:val="0"/>
              <w:marTop w:val="0"/>
              <w:marBottom w:val="240"/>
              <w:divBdr>
                <w:top w:val="none" w:sz="0" w:space="0" w:color="auto"/>
                <w:left w:val="none" w:sz="0" w:space="0" w:color="auto"/>
                <w:bottom w:val="none" w:sz="0" w:space="0" w:color="auto"/>
                <w:right w:val="none" w:sz="0" w:space="0" w:color="auto"/>
              </w:divBdr>
            </w:div>
            <w:div w:id="1004430546">
              <w:marLeft w:val="0"/>
              <w:marRight w:val="0"/>
              <w:marTop w:val="0"/>
              <w:marBottom w:val="240"/>
              <w:divBdr>
                <w:top w:val="none" w:sz="0" w:space="0" w:color="auto"/>
                <w:left w:val="none" w:sz="0" w:space="0" w:color="auto"/>
                <w:bottom w:val="none" w:sz="0" w:space="0" w:color="auto"/>
                <w:right w:val="none" w:sz="0" w:space="0" w:color="auto"/>
              </w:divBdr>
            </w:div>
            <w:div w:id="1033384192">
              <w:marLeft w:val="0"/>
              <w:marRight w:val="0"/>
              <w:marTop w:val="0"/>
              <w:marBottom w:val="240"/>
              <w:divBdr>
                <w:top w:val="none" w:sz="0" w:space="0" w:color="auto"/>
                <w:left w:val="none" w:sz="0" w:space="0" w:color="auto"/>
                <w:bottom w:val="none" w:sz="0" w:space="0" w:color="auto"/>
                <w:right w:val="none" w:sz="0" w:space="0" w:color="auto"/>
              </w:divBdr>
            </w:div>
            <w:div w:id="1033850515">
              <w:marLeft w:val="0"/>
              <w:marRight w:val="0"/>
              <w:marTop w:val="0"/>
              <w:marBottom w:val="240"/>
              <w:divBdr>
                <w:top w:val="none" w:sz="0" w:space="0" w:color="auto"/>
                <w:left w:val="none" w:sz="0" w:space="0" w:color="auto"/>
                <w:bottom w:val="none" w:sz="0" w:space="0" w:color="auto"/>
                <w:right w:val="none" w:sz="0" w:space="0" w:color="auto"/>
              </w:divBdr>
            </w:div>
            <w:div w:id="1055616213">
              <w:marLeft w:val="0"/>
              <w:marRight w:val="0"/>
              <w:marTop w:val="0"/>
              <w:marBottom w:val="240"/>
              <w:divBdr>
                <w:top w:val="none" w:sz="0" w:space="0" w:color="auto"/>
                <w:left w:val="none" w:sz="0" w:space="0" w:color="auto"/>
                <w:bottom w:val="none" w:sz="0" w:space="0" w:color="auto"/>
                <w:right w:val="none" w:sz="0" w:space="0" w:color="auto"/>
              </w:divBdr>
            </w:div>
            <w:div w:id="1080716242">
              <w:marLeft w:val="0"/>
              <w:marRight w:val="0"/>
              <w:marTop w:val="0"/>
              <w:marBottom w:val="240"/>
              <w:divBdr>
                <w:top w:val="none" w:sz="0" w:space="0" w:color="auto"/>
                <w:left w:val="none" w:sz="0" w:space="0" w:color="auto"/>
                <w:bottom w:val="none" w:sz="0" w:space="0" w:color="auto"/>
                <w:right w:val="none" w:sz="0" w:space="0" w:color="auto"/>
              </w:divBdr>
            </w:div>
            <w:div w:id="1142305837">
              <w:marLeft w:val="0"/>
              <w:marRight w:val="0"/>
              <w:marTop w:val="0"/>
              <w:marBottom w:val="240"/>
              <w:divBdr>
                <w:top w:val="none" w:sz="0" w:space="0" w:color="auto"/>
                <w:left w:val="none" w:sz="0" w:space="0" w:color="auto"/>
                <w:bottom w:val="none" w:sz="0" w:space="0" w:color="auto"/>
                <w:right w:val="none" w:sz="0" w:space="0" w:color="auto"/>
              </w:divBdr>
            </w:div>
            <w:div w:id="1230731681">
              <w:marLeft w:val="0"/>
              <w:marRight w:val="0"/>
              <w:marTop w:val="0"/>
              <w:marBottom w:val="0"/>
              <w:divBdr>
                <w:top w:val="none" w:sz="0" w:space="0" w:color="auto"/>
                <w:left w:val="none" w:sz="0" w:space="0" w:color="auto"/>
                <w:bottom w:val="none" w:sz="0" w:space="0" w:color="auto"/>
                <w:right w:val="none" w:sz="0" w:space="0" w:color="auto"/>
              </w:divBdr>
            </w:div>
            <w:div w:id="1277440976">
              <w:marLeft w:val="0"/>
              <w:marRight w:val="0"/>
              <w:marTop w:val="0"/>
              <w:marBottom w:val="240"/>
              <w:divBdr>
                <w:top w:val="none" w:sz="0" w:space="0" w:color="auto"/>
                <w:left w:val="none" w:sz="0" w:space="0" w:color="auto"/>
                <w:bottom w:val="none" w:sz="0" w:space="0" w:color="auto"/>
                <w:right w:val="none" w:sz="0" w:space="0" w:color="auto"/>
              </w:divBdr>
            </w:div>
            <w:div w:id="1278491990">
              <w:marLeft w:val="0"/>
              <w:marRight w:val="0"/>
              <w:marTop w:val="0"/>
              <w:marBottom w:val="240"/>
              <w:divBdr>
                <w:top w:val="none" w:sz="0" w:space="0" w:color="auto"/>
                <w:left w:val="none" w:sz="0" w:space="0" w:color="auto"/>
                <w:bottom w:val="none" w:sz="0" w:space="0" w:color="auto"/>
                <w:right w:val="none" w:sz="0" w:space="0" w:color="auto"/>
              </w:divBdr>
            </w:div>
            <w:div w:id="1318611706">
              <w:marLeft w:val="0"/>
              <w:marRight w:val="0"/>
              <w:marTop w:val="0"/>
              <w:marBottom w:val="240"/>
              <w:divBdr>
                <w:top w:val="none" w:sz="0" w:space="0" w:color="auto"/>
                <w:left w:val="none" w:sz="0" w:space="0" w:color="auto"/>
                <w:bottom w:val="none" w:sz="0" w:space="0" w:color="auto"/>
                <w:right w:val="none" w:sz="0" w:space="0" w:color="auto"/>
              </w:divBdr>
            </w:div>
            <w:div w:id="1325278281">
              <w:marLeft w:val="0"/>
              <w:marRight w:val="0"/>
              <w:marTop w:val="0"/>
              <w:marBottom w:val="240"/>
              <w:divBdr>
                <w:top w:val="none" w:sz="0" w:space="0" w:color="auto"/>
                <w:left w:val="none" w:sz="0" w:space="0" w:color="auto"/>
                <w:bottom w:val="none" w:sz="0" w:space="0" w:color="auto"/>
                <w:right w:val="none" w:sz="0" w:space="0" w:color="auto"/>
              </w:divBdr>
            </w:div>
            <w:div w:id="1378623794">
              <w:marLeft w:val="0"/>
              <w:marRight w:val="0"/>
              <w:marTop w:val="0"/>
              <w:marBottom w:val="240"/>
              <w:divBdr>
                <w:top w:val="none" w:sz="0" w:space="0" w:color="auto"/>
                <w:left w:val="none" w:sz="0" w:space="0" w:color="auto"/>
                <w:bottom w:val="none" w:sz="0" w:space="0" w:color="auto"/>
                <w:right w:val="none" w:sz="0" w:space="0" w:color="auto"/>
              </w:divBdr>
            </w:div>
            <w:div w:id="1412657042">
              <w:marLeft w:val="0"/>
              <w:marRight w:val="0"/>
              <w:marTop w:val="0"/>
              <w:marBottom w:val="240"/>
              <w:divBdr>
                <w:top w:val="none" w:sz="0" w:space="0" w:color="auto"/>
                <w:left w:val="none" w:sz="0" w:space="0" w:color="auto"/>
                <w:bottom w:val="none" w:sz="0" w:space="0" w:color="auto"/>
                <w:right w:val="none" w:sz="0" w:space="0" w:color="auto"/>
              </w:divBdr>
            </w:div>
            <w:div w:id="1472941929">
              <w:marLeft w:val="0"/>
              <w:marRight w:val="0"/>
              <w:marTop w:val="0"/>
              <w:marBottom w:val="240"/>
              <w:divBdr>
                <w:top w:val="none" w:sz="0" w:space="0" w:color="auto"/>
                <w:left w:val="none" w:sz="0" w:space="0" w:color="auto"/>
                <w:bottom w:val="none" w:sz="0" w:space="0" w:color="auto"/>
                <w:right w:val="none" w:sz="0" w:space="0" w:color="auto"/>
              </w:divBdr>
            </w:div>
            <w:div w:id="1509365019">
              <w:marLeft w:val="0"/>
              <w:marRight w:val="0"/>
              <w:marTop w:val="0"/>
              <w:marBottom w:val="240"/>
              <w:divBdr>
                <w:top w:val="none" w:sz="0" w:space="0" w:color="auto"/>
                <w:left w:val="none" w:sz="0" w:space="0" w:color="auto"/>
                <w:bottom w:val="none" w:sz="0" w:space="0" w:color="auto"/>
                <w:right w:val="none" w:sz="0" w:space="0" w:color="auto"/>
              </w:divBdr>
            </w:div>
            <w:div w:id="1575968037">
              <w:marLeft w:val="0"/>
              <w:marRight w:val="0"/>
              <w:marTop w:val="0"/>
              <w:marBottom w:val="240"/>
              <w:divBdr>
                <w:top w:val="none" w:sz="0" w:space="0" w:color="auto"/>
                <w:left w:val="none" w:sz="0" w:space="0" w:color="auto"/>
                <w:bottom w:val="none" w:sz="0" w:space="0" w:color="auto"/>
                <w:right w:val="none" w:sz="0" w:space="0" w:color="auto"/>
              </w:divBdr>
            </w:div>
            <w:div w:id="1614244060">
              <w:marLeft w:val="0"/>
              <w:marRight w:val="0"/>
              <w:marTop w:val="0"/>
              <w:marBottom w:val="240"/>
              <w:divBdr>
                <w:top w:val="none" w:sz="0" w:space="0" w:color="auto"/>
                <w:left w:val="none" w:sz="0" w:space="0" w:color="auto"/>
                <w:bottom w:val="none" w:sz="0" w:space="0" w:color="auto"/>
                <w:right w:val="none" w:sz="0" w:space="0" w:color="auto"/>
              </w:divBdr>
            </w:div>
            <w:div w:id="1623534289">
              <w:marLeft w:val="0"/>
              <w:marRight w:val="0"/>
              <w:marTop w:val="0"/>
              <w:marBottom w:val="240"/>
              <w:divBdr>
                <w:top w:val="none" w:sz="0" w:space="0" w:color="auto"/>
                <w:left w:val="none" w:sz="0" w:space="0" w:color="auto"/>
                <w:bottom w:val="none" w:sz="0" w:space="0" w:color="auto"/>
                <w:right w:val="none" w:sz="0" w:space="0" w:color="auto"/>
              </w:divBdr>
            </w:div>
            <w:div w:id="1663000461">
              <w:marLeft w:val="0"/>
              <w:marRight w:val="0"/>
              <w:marTop w:val="0"/>
              <w:marBottom w:val="240"/>
              <w:divBdr>
                <w:top w:val="none" w:sz="0" w:space="0" w:color="auto"/>
                <w:left w:val="none" w:sz="0" w:space="0" w:color="auto"/>
                <w:bottom w:val="none" w:sz="0" w:space="0" w:color="auto"/>
                <w:right w:val="none" w:sz="0" w:space="0" w:color="auto"/>
              </w:divBdr>
            </w:div>
            <w:div w:id="1671172339">
              <w:marLeft w:val="0"/>
              <w:marRight w:val="0"/>
              <w:marTop w:val="0"/>
              <w:marBottom w:val="240"/>
              <w:divBdr>
                <w:top w:val="none" w:sz="0" w:space="0" w:color="auto"/>
                <w:left w:val="none" w:sz="0" w:space="0" w:color="auto"/>
                <w:bottom w:val="none" w:sz="0" w:space="0" w:color="auto"/>
                <w:right w:val="none" w:sz="0" w:space="0" w:color="auto"/>
              </w:divBdr>
            </w:div>
            <w:div w:id="1672949337">
              <w:marLeft w:val="0"/>
              <w:marRight w:val="0"/>
              <w:marTop w:val="0"/>
              <w:marBottom w:val="240"/>
              <w:divBdr>
                <w:top w:val="none" w:sz="0" w:space="0" w:color="auto"/>
                <w:left w:val="none" w:sz="0" w:space="0" w:color="auto"/>
                <w:bottom w:val="none" w:sz="0" w:space="0" w:color="auto"/>
                <w:right w:val="none" w:sz="0" w:space="0" w:color="auto"/>
              </w:divBdr>
            </w:div>
            <w:div w:id="1685404625">
              <w:marLeft w:val="0"/>
              <w:marRight w:val="0"/>
              <w:marTop w:val="0"/>
              <w:marBottom w:val="240"/>
              <w:divBdr>
                <w:top w:val="none" w:sz="0" w:space="0" w:color="auto"/>
                <w:left w:val="none" w:sz="0" w:space="0" w:color="auto"/>
                <w:bottom w:val="none" w:sz="0" w:space="0" w:color="auto"/>
                <w:right w:val="none" w:sz="0" w:space="0" w:color="auto"/>
              </w:divBdr>
            </w:div>
            <w:div w:id="1687826434">
              <w:marLeft w:val="0"/>
              <w:marRight w:val="0"/>
              <w:marTop w:val="0"/>
              <w:marBottom w:val="240"/>
              <w:divBdr>
                <w:top w:val="none" w:sz="0" w:space="0" w:color="auto"/>
                <w:left w:val="none" w:sz="0" w:space="0" w:color="auto"/>
                <w:bottom w:val="none" w:sz="0" w:space="0" w:color="auto"/>
                <w:right w:val="none" w:sz="0" w:space="0" w:color="auto"/>
              </w:divBdr>
            </w:div>
            <w:div w:id="1691299018">
              <w:marLeft w:val="0"/>
              <w:marRight w:val="0"/>
              <w:marTop w:val="0"/>
              <w:marBottom w:val="240"/>
              <w:divBdr>
                <w:top w:val="none" w:sz="0" w:space="0" w:color="auto"/>
                <w:left w:val="none" w:sz="0" w:space="0" w:color="auto"/>
                <w:bottom w:val="none" w:sz="0" w:space="0" w:color="auto"/>
                <w:right w:val="none" w:sz="0" w:space="0" w:color="auto"/>
              </w:divBdr>
            </w:div>
            <w:div w:id="1693530949">
              <w:marLeft w:val="0"/>
              <w:marRight w:val="0"/>
              <w:marTop w:val="0"/>
              <w:marBottom w:val="240"/>
              <w:divBdr>
                <w:top w:val="none" w:sz="0" w:space="0" w:color="auto"/>
                <w:left w:val="none" w:sz="0" w:space="0" w:color="auto"/>
                <w:bottom w:val="none" w:sz="0" w:space="0" w:color="auto"/>
                <w:right w:val="none" w:sz="0" w:space="0" w:color="auto"/>
              </w:divBdr>
            </w:div>
            <w:div w:id="1728142052">
              <w:marLeft w:val="0"/>
              <w:marRight w:val="0"/>
              <w:marTop w:val="0"/>
              <w:marBottom w:val="240"/>
              <w:divBdr>
                <w:top w:val="none" w:sz="0" w:space="0" w:color="auto"/>
                <w:left w:val="none" w:sz="0" w:space="0" w:color="auto"/>
                <w:bottom w:val="none" w:sz="0" w:space="0" w:color="auto"/>
                <w:right w:val="none" w:sz="0" w:space="0" w:color="auto"/>
              </w:divBdr>
            </w:div>
            <w:div w:id="1729112626">
              <w:marLeft w:val="0"/>
              <w:marRight w:val="0"/>
              <w:marTop w:val="0"/>
              <w:marBottom w:val="240"/>
              <w:divBdr>
                <w:top w:val="none" w:sz="0" w:space="0" w:color="auto"/>
                <w:left w:val="none" w:sz="0" w:space="0" w:color="auto"/>
                <w:bottom w:val="none" w:sz="0" w:space="0" w:color="auto"/>
                <w:right w:val="none" w:sz="0" w:space="0" w:color="auto"/>
              </w:divBdr>
            </w:div>
            <w:div w:id="1768237090">
              <w:marLeft w:val="0"/>
              <w:marRight w:val="0"/>
              <w:marTop w:val="0"/>
              <w:marBottom w:val="240"/>
              <w:divBdr>
                <w:top w:val="none" w:sz="0" w:space="0" w:color="auto"/>
                <w:left w:val="none" w:sz="0" w:space="0" w:color="auto"/>
                <w:bottom w:val="none" w:sz="0" w:space="0" w:color="auto"/>
                <w:right w:val="none" w:sz="0" w:space="0" w:color="auto"/>
              </w:divBdr>
            </w:div>
            <w:div w:id="1777092448">
              <w:marLeft w:val="0"/>
              <w:marRight w:val="0"/>
              <w:marTop w:val="0"/>
              <w:marBottom w:val="240"/>
              <w:divBdr>
                <w:top w:val="none" w:sz="0" w:space="0" w:color="auto"/>
                <w:left w:val="none" w:sz="0" w:space="0" w:color="auto"/>
                <w:bottom w:val="none" w:sz="0" w:space="0" w:color="auto"/>
                <w:right w:val="none" w:sz="0" w:space="0" w:color="auto"/>
              </w:divBdr>
            </w:div>
            <w:div w:id="1799300689">
              <w:marLeft w:val="0"/>
              <w:marRight w:val="0"/>
              <w:marTop w:val="0"/>
              <w:marBottom w:val="240"/>
              <w:divBdr>
                <w:top w:val="none" w:sz="0" w:space="0" w:color="auto"/>
                <w:left w:val="none" w:sz="0" w:space="0" w:color="auto"/>
                <w:bottom w:val="none" w:sz="0" w:space="0" w:color="auto"/>
                <w:right w:val="none" w:sz="0" w:space="0" w:color="auto"/>
              </w:divBdr>
            </w:div>
            <w:div w:id="1800682820">
              <w:marLeft w:val="0"/>
              <w:marRight w:val="0"/>
              <w:marTop w:val="0"/>
              <w:marBottom w:val="240"/>
              <w:divBdr>
                <w:top w:val="none" w:sz="0" w:space="0" w:color="auto"/>
                <w:left w:val="none" w:sz="0" w:space="0" w:color="auto"/>
                <w:bottom w:val="none" w:sz="0" w:space="0" w:color="auto"/>
                <w:right w:val="none" w:sz="0" w:space="0" w:color="auto"/>
              </w:divBdr>
            </w:div>
            <w:div w:id="1836219035">
              <w:marLeft w:val="0"/>
              <w:marRight w:val="0"/>
              <w:marTop w:val="0"/>
              <w:marBottom w:val="240"/>
              <w:divBdr>
                <w:top w:val="none" w:sz="0" w:space="0" w:color="auto"/>
                <w:left w:val="none" w:sz="0" w:space="0" w:color="auto"/>
                <w:bottom w:val="none" w:sz="0" w:space="0" w:color="auto"/>
                <w:right w:val="none" w:sz="0" w:space="0" w:color="auto"/>
              </w:divBdr>
            </w:div>
            <w:div w:id="1925648386">
              <w:marLeft w:val="0"/>
              <w:marRight w:val="0"/>
              <w:marTop w:val="0"/>
              <w:marBottom w:val="240"/>
              <w:divBdr>
                <w:top w:val="none" w:sz="0" w:space="0" w:color="auto"/>
                <w:left w:val="none" w:sz="0" w:space="0" w:color="auto"/>
                <w:bottom w:val="none" w:sz="0" w:space="0" w:color="auto"/>
                <w:right w:val="none" w:sz="0" w:space="0" w:color="auto"/>
              </w:divBdr>
            </w:div>
            <w:div w:id="1942297787">
              <w:marLeft w:val="0"/>
              <w:marRight w:val="0"/>
              <w:marTop w:val="0"/>
              <w:marBottom w:val="240"/>
              <w:divBdr>
                <w:top w:val="none" w:sz="0" w:space="0" w:color="auto"/>
                <w:left w:val="none" w:sz="0" w:space="0" w:color="auto"/>
                <w:bottom w:val="none" w:sz="0" w:space="0" w:color="auto"/>
                <w:right w:val="none" w:sz="0" w:space="0" w:color="auto"/>
              </w:divBdr>
            </w:div>
            <w:div w:id="1958640711">
              <w:marLeft w:val="0"/>
              <w:marRight w:val="0"/>
              <w:marTop w:val="0"/>
              <w:marBottom w:val="240"/>
              <w:divBdr>
                <w:top w:val="none" w:sz="0" w:space="0" w:color="auto"/>
                <w:left w:val="none" w:sz="0" w:space="0" w:color="auto"/>
                <w:bottom w:val="none" w:sz="0" w:space="0" w:color="auto"/>
                <w:right w:val="none" w:sz="0" w:space="0" w:color="auto"/>
              </w:divBdr>
            </w:div>
            <w:div w:id="1979261801">
              <w:marLeft w:val="0"/>
              <w:marRight w:val="0"/>
              <w:marTop w:val="0"/>
              <w:marBottom w:val="240"/>
              <w:divBdr>
                <w:top w:val="none" w:sz="0" w:space="0" w:color="auto"/>
                <w:left w:val="none" w:sz="0" w:space="0" w:color="auto"/>
                <w:bottom w:val="none" w:sz="0" w:space="0" w:color="auto"/>
                <w:right w:val="none" w:sz="0" w:space="0" w:color="auto"/>
              </w:divBdr>
            </w:div>
            <w:div w:id="1989896185">
              <w:marLeft w:val="0"/>
              <w:marRight w:val="0"/>
              <w:marTop w:val="0"/>
              <w:marBottom w:val="240"/>
              <w:divBdr>
                <w:top w:val="none" w:sz="0" w:space="0" w:color="auto"/>
                <w:left w:val="none" w:sz="0" w:space="0" w:color="auto"/>
                <w:bottom w:val="none" w:sz="0" w:space="0" w:color="auto"/>
                <w:right w:val="none" w:sz="0" w:space="0" w:color="auto"/>
              </w:divBdr>
            </w:div>
            <w:div w:id="2036344060">
              <w:marLeft w:val="0"/>
              <w:marRight w:val="0"/>
              <w:marTop w:val="0"/>
              <w:marBottom w:val="240"/>
              <w:divBdr>
                <w:top w:val="none" w:sz="0" w:space="0" w:color="auto"/>
                <w:left w:val="none" w:sz="0" w:space="0" w:color="auto"/>
                <w:bottom w:val="none" w:sz="0" w:space="0" w:color="auto"/>
                <w:right w:val="none" w:sz="0" w:space="0" w:color="auto"/>
              </w:divBdr>
            </w:div>
            <w:div w:id="2046901859">
              <w:marLeft w:val="0"/>
              <w:marRight w:val="0"/>
              <w:marTop w:val="0"/>
              <w:marBottom w:val="240"/>
              <w:divBdr>
                <w:top w:val="none" w:sz="0" w:space="0" w:color="auto"/>
                <w:left w:val="none" w:sz="0" w:space="0" w:color="auto"/>
                <w:bottom w:val="none" w:sz="0" w:space="0" w:color="auto"/>
                <w:right w:val="none" w:sz="0" w:space="0" w:color="auto"/>
              </w:divBdr>
            </w:div>
            <w:div w:id="2052535638">
              <w:marLeft w:val="0"/>
              <w:marRight w:val="0"/>
              <w:marTop w:val="0"/>
              <w:marBottom w:val="240"/>
              <w:divBdr>
                <w:top w:val="none" w:sz="0" w:space="0" w:color="auto"/>
                <w:left w:val="none" w:sz="0" w:space="0" w:color="auto"/>
                <w:bottom w:val="none" w:sz="0" w:space="0" w:color="auto"/>
                <w:right w:val="none" w:sz="0" w:space="0" w:color="auto"/>
              </w:divBdr>
            </w:div>
            <w:div w:id="2052804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7996742">
      <w:bodyDiv w:val="1"/>
      <w:marLeft w:val="0"/>
      <w:marRight w:val="0"/>
      <w:marTop w:val="0"/>
      <w:marBottom w:val="0"/>
      <w:divBdr>
        <w:top w:val="none" w:sz="0" w:space="0" w:color="auto"/>
        <w:left w:val="none" w:sz="0" w:space="0" w:color="auto"/>
        <w:bottom w:val="none" w:sz="0" w:space="0" w:color="auto"/>
        <w:right w:val="none" w:sz="0" w:space="0" w:color="auto"/>
      </w:divBdr>
      <w:divsChild>
        <w:div w:id="241838206">
          <w:marLeft w:val="0"/>
          <w:marRight w:val="0"/>
          <w:marTop w:val="0"/>
          <w:marBottom w:val="0"/>
          <w:divBdr>
            <w:top w:val="none" w:sz="0" w:space="0" w:color="auto"/>
            <w:left w:val="none" w:sz="0" w:space="0" w:color="auto"/>
            <w:bottom w:val="none" w:sz="0" w:space="0" w:color="auto"/>
            <w:right w:val="none" w:sz="0" w:space="0" w:color="auto"/>
          </w:divBdr>
          <w:divsChild>
            <w:div w:id="178659734">
              <w:marLeft w:val="0"/>
              <w:marRight w:val="0"/>
              <w:marTop w:val="0"/>
              <w:marBottom w:val="0"/>
              <w:divBdr>
                <w:top w:val="none" w:sz="0" w:space="0" w:color="auto"/>
                <w:left w:val="none" w:sz="0" w:space="0" w:color="auto"/>
                <w:bottom w:val="none" w:sz="0" w:space="0" w:color="auto"/>
                <w:right w:val="none" w:sz="0" w:space="0" w:color="auto"/>
              </w:divBdr>
              <w:divsChild>
                <w:div w:id="15611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ed.gov/idea/regs/b/a/300.8/c" TargetMode="External"/><Relationship Id="rId5" Type="http://schemas.openxmlformats.org/officeDocument/2006/relationships/webSettings" Target="webSettings.xml"/><Relationship Id="rId10" Type="http://schemas.openxmlformats.org/officeDocument/2006/relationships/hyperlink" Target="https://www.rti.org/rti-press-publication/learning-disabilities-screening-and-evaluation-guide-low-and-middle-income"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D7053-F382-3C44-8128-40DF52CD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6563</Words>
  <Characters>37412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Richard.Barrineau</dc:creator>
  <cp:keywords/>
  <dc:description/>
  <cp:lastModifiedBy>Farmer, Sarah</cp:lastModifiedBy>
  <cp:revision>2</cp:revision>
  <cp:lastPrinted>2021-06-06T13:05:00Z</cp:lastPrinted>
  <dcterms:created xsi:type="dcterms:W3CDTF">2021-09-16T04:12:00Z</dcterms:created>
  <dcterms:modified xsi:type="dcterms:W3CDTF">2021-09-16T04:12:00Z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id="ms50PO0a"/&gt;&lt;style id="http://www.zotero.org/styles/turabian-fullnote-bibliography" hasBibliography="1" bibliographyStyleHasBeenSet="0"/&gt;&lt;prefs&gt;&lt;pref name="fieldType" value="Field"/&gt;&lt;pref name="</vt:lpwstr>
  </property>
  <property fmtid="{D5CDD505-2E9C-101B-9397-08002B2CF9AE}" pid="3" name="ZOTERO_PREF_2">
    <vt:lpwstr>noteType" value="1"/&gt;&lt;/prefs&gt;&lt;/data&gt;</vt:lpwstr>
  </property>
</Properties>
</file>