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77777777" w:rsidR="00363360" w:rsidRDefault="00363360">
      <w:pPr>
        <w:rPr>
          <w:rFonts w:ascii="Times New Roman" w:eastAsia="Times New Roman" w:hAnsi="Times New Roman" w:cs="Times New Roman"/>
          <w:sz w:val="24"/>
          <w:szCs w:val="24"/>
        </w:rPr>
      </w:pPr>
    </w:p>
    <w:p w14:paraId="00000002" w14:textId="77777777" w:rsidR="00363360" w:rsidRDefault="00363360">
      <w:pPr>
        <w:rPr>
          <w:rFonts w:ascii="Times New Roman" w:eastAsia="Times New Roman" w:hAnsi="Times New Roman" w:cs="Times New Roman"/>
          <w:sz w:val="24"/>
          <w:szCs w:val="24"/>
        </w:rPr>
      </w:pPr>
    </w:p>
    <w:p w14:paraId="00000003" w14:textId="77777777" w:rsidR="00363360" w:rsidRDefault="00363360">
      <w:pPr>
        <w:rPr>
          <w:rFonts w:ascii="Times New Roman" w:eastAsia="Times New Roman" w:hAnsi="Times New Roman" w:cs="Times New Roman"/>
          <w:sz w:val="24"/>
          <w:szCs w:val="24"/>
        </w:rPr>
      </w:pPr>
    </w:p>
    <w:p w14:paraId="00000004" w14:textId="77777777" w:rsidR="00363360" w:rsidRDefault="00363360">
      <w:pPr>
        <w:rPr>
          <w:rFonts w:ascii="Times New Roman" w:eastAsia="Times New Roman" w:hAnsi="Times New Roman" w:cs="Times New Roman"/>
          <w:sz w:val="24"/>
          <w:szCs w:val="24"/>
        </w:rPr>
      </w:pPr>
    </w:p>
    <w:p w14:paraId="00000005" w14:textId="77777777" w:rsidR="00363360" w:rsidRDefault="00363360">
      <w:pPr>
        <w:rPr>
          <w:rFonts w:ascii="Times New Roman" w:eastAsia="Times New Roman" w:hAnsi="Times New Roman" w:cs="Times New Roman"/>
          <w:sz w:val="24"/>
          <w:szCs w:val="24"/>
        </w:rPr>
      </w:pPr>
    </w:p>
    <w:p w14:paraId="00000006" w14:textId="77777777" w:rsidR="00363360"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What’s in a Name? </w:t>
      </w:r>
    </w:p>
    <w:p w14:paraId="00000007" w14:textId="77777777" w:rsidR="00363360"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Toward a Relational Theology of Naming through the Lens of U.S. Hispanic/Latinx Contexts</w:t>
      </w:r>
    </w:p>
    <w:p w14:paraId="00000008" w14:textId="77777777" w:rsidR="00363360" w:rsidRDefault="00363360">
      <w:pPr>
        <w:rPr>
          <w:rFonts w:ascii="Times New Roman" w:eastAsia="Times New Roman" w:hAnsi="Times New Roman" w:cs="Times New Roman"/>
          <w:sz w:val="24"/>
          <w:szCs w:val="24"/>
        </w:rPr>
      </w:pPr>
    </w:p>
    <w:p w14:paraId="00000009" w14:textId="77777777" w:rsidR="00363360" w:rsidRDefault="00363360">
      <w:pPr>
        <w:jc w:val="center"/>
        <w:rPr>
          <w:rFonts w:ascii="Times New Roman" w:eastAsia="Times New Roman" w:hAnsi="Times New Roman" w:cs="Times New Roman"/>
          <w:sz w:val="24"/>
          <w:szCs w:val="24"/>
        </w:rPr>
      </w:pPr>
    </w:p>
    <w:p w14:paraId="0000000A" w14:textId="77777777" w:rsidR="00363360" w:rsidRDefault="00363360">
      <w:pPr>
        <w:jc w:val="center"/>
        <w:rPr>
          <w:rFonts w:ascii="Times New Roman" w:eastAsia="Times New Roman" w:hAnsi="Times New Roman" w:cs="Times New Roman"/>
          <w:sz w:val="24"/>
          <w:szCs w:val="24"/>
        </w:rPr>
      </w:pPr>
    </w:p>
    <w:p w14:paraId="0000000B" w14:textId="77777777" w:rsidR="00363360"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Alexis Larios</w:t>
      </w:r>
    </w:p>
    <w:p w14:paraId="0000000C" w14:textId="77777777" w:rsidR="00363360" w:rsidRDefault="00363360">
      <w:pPr>
        <w:jc w:val="center"/>
        <w:rPr>
          <w:rFonts w:ascii="Times New Roman" w:eastAsia="Times New Roman" w:hAnsi="Times New Roman" w:cs="Times New Roman"/>
          <w:sz w:val="24"/>
          <w:szCs w:val="24"/>
        </w:rPr>
      </w:pPr>
    </w:p>
    <w:p w14:paraId="0000000D" w14:textId="77777777" w:rsidR="00363360"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Boston College Clough School of Theology and Ministry</w:t>
      </w:r>
    </w:p>
    <w:p w14:paraId="0000000E" w14:textId="77777777" w:rsidR="00363360" w:rsidRDefault="00363360">
      <w:pPr>
        <w:jc w:val="center"/>
        <w:rPr>
          <w:rFonts w:ascii="Times New Roman" w:eastAsia="Times New Roman" w:hAnsi="Times New Roman" w:cs="Times New Roman"/>
          <w:sz w:val="24"/>
          <w:szCs w:val="24"/>
        </w:rPr>
      </w:pPr>
    </w:p>
    <w:p w14:paraId="0000000F" w14:textId="77777777" w:rsidR="00363360"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AYME 2026</w:t>
      </w:r>
    </w:p>
    <w:p w14:paraId="00000010" w14:textId="77777777" w:rsidR="00363360" w:rsidRDefault="00363360">
      <w:pPr>
        <w:jc w:val="center"/>
        <w:rPr>
          <w:rFonts w:ascii="Times New Roman" w:eastAsia="Times New Roman" w:hAnsi="Times New Roman" w:cs="Times New Roman"/>
          <w:sz w:val="24"/>
          <w:szCs w:val="24"/>
        </w:rPr>
      </w:pPr>
    </w:p>
    <w:p w14:paraId="00000011" w14:textId="77777777" w:rsidR="00363360" w:rsidRDefault="00363360">
      <w:pPr>
        <w:rPr>
          <w:rFonts w:ascii="Times New Roman" w:eastAsia="Times New Roman" w:hAnsi="Times New Roman" w:cs="Times New Roman"/>
          <w:sz w:val="24"/>
          <w:szCs w:val="24"/>
        </w:rPr>
      </w:pPr>
    </w:p>
    <w:p w14:paraId="00000012"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Abstract: </w:t>
      </w:r>
      <w:r>
        <w:rPr>
          <w:rFonts w:ascii="Times New Roman" w:eastAsia="Times New Roman" w:hAnsi="Times New Roman" w:cs="Times New Roman"/>
          <w:sz w:val="24"/>
          <w:szCs w:val="24"/>
        </w:rPr>
        <w:t xml:space="preserve">This paper addresses relational evangelism and discipleship through a theological exploration of name/naming, with attention to the U.S. Hispanic/Latinx population. The paper begins by mapping the ongoing controversies and tensions inherent in the project of naming U.S. Hispanics, with attention to Hispanic youth. It proceeds to engage the work of Linda </w:t>
      </w:r>
      <w:r>
        <w:rPr>
          <w:rFonts w:ascii="Times New Roman" w:eastAsia="Times New Roman" w:hAnsi="Times New Roman" w:cs="Times New Roman"/>
          <w:color w:val="2A2A2A"/>
          <w:sz w:val="24"/>
          <w:szCs w:val="24"/>
        </w:rPr>
        <w:t>Martín</w:t>
      </w:r>
      <w:r>
        <w:rPr>
          <w:rFonts w:ascii="Times New Roman" w:eastAsia="Times New Roman" w:hAnsi="Times New Roman" w:cs="Times New Roman"/>
          <w:sz w:val="24"/>
          <w:szCs w:val="24"/>
        </w:rPr>
        <w:t xml:space="preserve"> Alcoff, </w:t>
      </w:r>
      <w:r>
        <w:rPr>
          <w:rFonts w:ascii="Times New Roman" w:eastAsia="Times New Roman" w:hAnsi="Times New Roman" w:cs="Times New Roman"/>
          <w:color w:val="2A2A2A"/>
          <w:sz w:val="24"/>
          <w:szCs w:val="24"/>
        </w:rPr>
        <w:t>Janet Soskice, and</w:t>
      </w:r>
      <w:r>
        <w:rPr>
          <w:rFonts w:ascii="Times New Roman" w:eastAsia="Times New Roman" w:hAnsi="Times New Roman" w:cs="Times New Roman"/>
          <w:sz w:val="24"/>
          <w:szCs w:val="24"/>
        </w:rPr>
        <w:t xml:space="preserve"> Hannah Malcolm, who each position naming beyond mere classification or description. The paper links naming to the larger project of belonging in Christian communities, as a constitutive element for fostering authentic belonging among young people for whom identity formation and social belonging are developmentally salient. Ultimately, it calls youth ministers and Christian educators to be attentive to issues of naming and belonging, moving toward practices of naming that are relational and which lift up those in our midst who have historically gone unnamed or misnamed. </w:t>
      </w:r>
    </w:p>
    <w:p w14:paraId="00000013" w14:textId="77777777" w:rsidR="00363360" w:rsidRDefault="00363360">
      <w:pPr>
        <w:rPr>
          <w:rFonts w:ascii="Times New Roman" w:eastAsia="Times New Roman" w:hAnsi="Times New Roman" w:cs="Times New Roman"/>
          <w:sz w:val="24"/>
          <w:szCs w:val="24"/>
        </w:rPr>
      </w:pPr>
    </w:p>
    <w:p w14:paraId="00000014" w14:textId="77777777" w:rsidR="00363360" w:rsidRDefault="00363360">
      <w:pPr>
        <w:jc w:val="center"/>
        <w:rPr>
          <w:rFonts w:ascii="Times New Roman" w:eastAsia="Times New Roman" w:hAnsi="Times New Roman" w:cs="Times New Roman"/>
          <w:sz w:val="24"/>
          <w:szCs w:val="24"/>
        </w:rPr>
      </w:pPr>
    </w:p>
    <w:p w14:paraId="00000015" w14:textId="77777777" w:rsidR="00363360" w:rsidRDefault="00363360">
      <w:pPr>
        <w:rPr>
          <w:rFonts w:ascii="Times New Roman" w:eastAsia="Times New Roman" w:hAnsi="Times New Roman" w:cs="Times New Roman"/>
          <w:b/>
          <w:bCs/>
          <w:sz w:val="24"/>
          <w:szCs w:val="24"/>
        </w:rPr>
      </w:pPr>
    </w:p>
    <w:p w14:paraId="00000016" w14:textId="77777777" w:rsidR="00363360" w:rsidRDefault="00363360">
      <w:pPr>
        <w:rPr>
          <w:rFonts w:ascii="Times New Roman" w:eastAsia="Times New Roman" w:hAnsi="Times New Roman" w:cs="Times New Roman"/>
          <w:b/>
          <w:bCs/>
          <w:sz w:val="24"/>
          <w:szCs w:val="24"/>
        </w:rPr>
      </w:pPr>
    </w:p>
    <w:p w14:paraId="00000017" w14:textId="77777777" w:rsidR="00363360" w:rsidRDefault="00363360">
      <w:pPr>
        <w:rPr>
          <w:rFonts w:ascii="Times New Roman" w:eastAsia="Times New Roman" w:hAnsi="Times New Roman" w:cs="Times New Roman"/>
          <w:b/>
          <w:bCs/>
          <w:sz w:val="24"/>
          <w:szCs w:val="24"/>
        </w:rPr>
      </w:pPr>
    </w:p>
    <w:p w14:paraId="00000018" w14:textId="77777777" w:rsidR="00363360" w:rsidRDefault="00363360">
      <w:pPr>
        <w:rPr>
          <w:rFonts w:ascii="Times New Roman" w:eastAsia="Times New Roman" w:hAnsi="Times New Roman" w:cs="Times New Roman"/>
          <w:b/>
          <w:bCs/>
          <w:sz w:val="24"/>
          <w:szCs w:val="24"/>
        </w:rPr>
      </w:pPr>
    </w:p>
    <w:p w14:paraId="00000019" w14:textId="77777777" w:rsidR="00363360" w:rsidRDefault="00000000">
      <w:pPr>
        <w:rPr>
          <w:rFonts w:ascii="Times New Roman" w:eastAsia="Times New Roman" w:hAnsi="Times New Roman" w:cs="Times New Roman"/>
          <w:b/>
          <w:bCs/>
          <w:sz w:val="24"/>
          <w:szCs w:val="24"/>
        </w:rPr>
      </w:pPr>
      <w:r>
        <w:br w:type="page"/>
      </w:r>
    </w:p>
    <w:p w14:paraId="0000001A" w14:textId="77777777" w:rsidR="0036336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Introduction</w:t>
      </w:r>
    </w:p>
    <w:p w14:paraId="0000001B" w14:textId="77777777" w:rsidR="00363360" w:rsidRDefault="00363360">
      <w:pPr>
        <w:rPr>
          <w:rFonts w:ascii="Times New Roman" w:eastAsia="Times New Roman" w:hAnsi="Times New Roman" w:cs="Times New Roman"/>
          <w:b/>
          <w:bCs/>
          <w:sz w:val="24"/>
          <w:szCs w:val="24"/>
        </w:rPr>
      </w:pPr>
    </w:p>
    <w:p w14:paraId="0000001C"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U.S. Hispanics/Latinos occupy a sometimes precarious position in the United States by nature of the ambiguity around their status as a group and disagreement around how to name and categorize their existence and place in American society. This stems partly from the fact that U.S. Hispanics are a diverse, multicultural, multiethnic, and multiracial population who fall along the entire socioeconomic and citizenship spectrum. To say that the U.S. Hispanic population is not a monolith is an understatement, and our Hispanic youth are just as representative of that. As of 2023, there were an estimated 62.5 million Hispanics in the U.S., representing over 19% of the population.</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Of that population, data from the U.S. Census Bureau shows that as of six years ago, 1 in 4 children in the U.S. is of Hispanic origin,</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and according to vintage population data, an estimated 8 million U.S. Latinos are between the ages of 18 and 24.</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At this moment politically, the targeted and hostile treatment of Hispanics in the U.S. forces us to confront once more what has now become an unresolved and perennial question: To where and to whom do Latinos belong? To leave this question unanswered is to contribute, either directly or indirectly, to the maltreatment of a vast segment of American society, and in our churches, to neglect the dignity and subjectivity of our fellow neighbor.    </w:t>
      </w:r>
    </w:p>
    <w:p w14:paraId="0000001D" w14:textId="77777777" w:rsidR="00363360"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t xml:space="preserve">This paper seeks to accomplish three tasks. First, it provides a brief overview of the ongoing controversies and tensions that are manifest in the project of naming and classifying </w:t>
      </w:r>
      <w:r>
        <w:rPr>
          <w:rFonts w:ascii="Times New Roman" w:eastAsia="Times New Roman" w:hAnsi="Times New Roman" w:cs="Times New Roman"/>
          <w:sz w:val="24"/>
          <w:szCs w:val="24"/>
        </w:rPr>
        <w:lastRenderedPageBreak/>
        <w:t xml:space="preserve">U.S. Latinos, with attention to how these issues impact Hispanic youth. Then, it addresses the theological significance of name and naming, drawing from the work of Linda </w:t>
      </w:r>
      <w:r>
        <w:rPr>
          <w:rFonts w:ascii="Times New Roman" w:eastAsia="Times New Roman" w:hAnsi="Times New Roman" w:cs="Times New Roman"/>
          <w:color w:val="2A2A2A"/>
          <w:sz w:val="24"/>
          <w:szCs w:val="24"/>
        </w:rPr>
        <w:t>Martín</w:t>
      </w:r>
      <w:r>
        <w:rPr>
          <w:rFonts w:ascii="Times New Roman" w:eastAsia="Times New Roman" w:hAnsi="Times New Roman" w:cs="Times New Roman"/>
          <w:sz w:val="24"/>
          <w:szCs w:val="24"/>
        </w:rPr>
        <w:t xml:space="preserve"> Alcoff, </w:t>
      </w:r>
      <w:r>
        <w:rPr>
          <w:rFonts w:ascii="Times New Roman" w:eastAsia="Times New Roman" w:hAnsi="Times New Roman" w:cs="Times New Roman"/>
          <w:color w:val="2A2A2A"/>
          <w:sz w:val="24"/>
          <w:szCs w:val="24"/>
        </w:rPr>
        <w:t>Janet Soskice, and</w:t>
      </w:r>
      <w:r>
        <w:rPr>
          <w:rFonts w:ascii="Times New Roman" w:eastAsia="Times New Roman" w:hAnsi="Times New Roman" w:cs="Times New Roman"/>
          <w:sz w:val="24"/>
          <w:szCs w:val="24"/>
        </w:rPr>
        <w:t xml:space="preserve"> Hannah Malcolm, all of whom demonstrate the expansive functions of naming that go beyond classification, description, or bureaucracy. Then it seeks to link naming to the larger generative theme of </w:t>
      </w:r>
      <w:r>
        <w:rPr>
          <w:rFonts w:ascii="Times New Roman" w:eastAsia="Times New Roman" w:hAnsi="Times New Roman" w:cs="Times New Roman"/>
          <w:i/>
          <w:iCs/>
          <w:sz w:val="24"/>
          <w:szCs w:val="24"/>
        </w:rPr>
        <w:t xml:space="preserve">mestizaje </w:t>
      </w:r>
      <w:r>
        <w:rPr>
          <w:rFonts w:ascii="Times New Roman" w:eastAsia="Times New Roman" w:hAnsi="Times New Roman" w:cs="Times New Roman"/>
          <w:sz w:val="24"/>
          <w:szCs w:val="24"/>
        </w:rPr>
        <w:t>in U.S. Latine theology, as first articulated by Virgilio Elizondo, adding to the expansive capacity of naming. Finally, it connects these theological implications to the issue of Christian belonging. I argue that Christian educators should be attentive to cultivating belonging for Latino youth by being attentive to issues of naming and belonging in ways that go beyond pure utility in wider society.</w:t>
      </w:r>
    </w:p>
    <w:p w14:paraId="0000001E"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Before proceeding, I wish to address my own choice of language here. So far I have interchangeably used the terms Hispanic and Latino. I opt to use U.S. Latino to refer to those in the United States whose ancestry or heritage can be traced back to Latin America. As I will discuss below, there are multiple options available to name this population, including Hispanic, Latino, Latino/a, Latinx, and Latine. Another option includes referring to a specific country of origin for oneself or one’s ancestors. For instance, throughout my childhood and adolescence growing up in the American Southwest, I identified myself as Mexican-American in order to name that I was born in the U.S. to Mexican parents. However, upon moving to the East Coast and entering a university setting, I gradually shifted my language and referred to myself as Latina in order to locate myself among the diverse Latinx diaspora that comprised my peers—young people whose parents or grandparents hailed from countries such as El Salvador, Mexico, Venezuela, political and ethical ramifications of such naming. There also exists a division between academic language and everyday spoken language. While academics often opt for newer terms such as Latinx or Latine, I here make a decision to remain with the terms Latino and </w:t>
      </w:r>
      <w:r>
        <w:rPr>
          <w:rFonts w:ascii="Times New Roman" w:eastAsia="Times New Roman" w:hAnsi="Times New Roman" w:cs="Times New Roman"/>
          <w:sz w:val="24"/>
          <w:szCs w:val="24"/>
        </w:rPr>
        <w:lastRenderedPageBreak/>
        <w:t xml:space="preserve">Hispanic as my pan-ethnic descriptors of choice, while acknowledging that for some within the academy Latinx or Latine would be more appropriate, and that for others, Hispanic would be preferred to Latino or vice versa. In the following section, I explicitly name some of the factors contributing to the preference of some terms over others.  </w:t>
      </w:r>
    </w:p>
    <w:p w14:paraId="0000001F" w14:textId="77777777" w:rsidR="00363360"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Power of a Name: Controversies and Tensions</w:t>
      </w:r>
    </w:p>
    <w:p w14:paraId="00000020"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While it is beyond the scope of this paper to provide a comprehensive history of the evolution of social identity language, I start here with a brief sketch of how we have arrived at the current moment in our use of terms. The Pew Research Center has studied the use of labels and language, finding that most U.S. Latinos opt for terms that describe their country of origin (or family origin). Interestingly, when it comes to a pan-ethnic label, Pew notes that consistently U.S. Latinos have shown no preference between Hispanic or Latino, but when one is used, will opt to use Hispanic.</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Few Latinos have heard of the term Latinx and only 3% use the term (usually college-educated, Democratic-leaning Latinas). Interestingly, nearly 60% of third-generation Latinos refer to themselves as American.</w:t>
      </w:r>
      <w:r>
        <w:rPr>
          <w:rFonts w:ascii="Times New Roman" w:eastAsia="Times New Roman" w:hAnsi="Times New Roman" w:cs="Times New Roman"/>
          <w:sz w:val="24"/>
          <w:szCs w:val="24"/>
          <w:vertAlign w:val="superscript"/>
        </w:rPr>
        <w:footnoteReference w:id="5"/>
      </w:r>
    </w:p>
    <w:p w14:paraId="00000021"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sz w:val="24"/>
          <w:szCs w:val="24"/>
        </w:rPr>
        <w:t>The terms Hispanic and Latino emerged over the 1970s and 1990s.</w:t>
      </w:r>
      <w:r>
        <w:rPr>
          <w:rFonts w:ascii="Times New Roman" w:eastAsia="Times New Roman" w:hAnsi="Times New Roman" w:cs="Times New Roman"/>
          <w:color w:val="2A2A2A"/>
          <w:sz w:val="24"/>
          <w:szCs w:val="24"/>
          <w:highlight w:val="white"/>
        </w:rPr>
        <w:t xml:space="preserve"> In the 70s, Mexican-American activists lobbied for the inclusion of Hispanic as a category on the United States Census, resulting in its inclusion in 1980.</w:t>
      </w:r>
      <w:r>
        <w:rPr>
          <w:rFonts w:ascii="Times New Roman" w:eastAsia="Times New Roman" w:hAnsi="Times New Roman" w:cs="Times New Roman"/>
          <w:color w:val="2A2A2A"/>
          <w:sz w:val="24"/>
          <w:szCs w:val="24"/>
          <w:highlight w:val="white"/>
          <w:vertAlign w:val="superscript"/>
        </w:rPr>
        <w:footnoteReference w:id="6"/>
      </w:r>
      <w:r>
        <w:rPr>
          <w:rFonts w:ascii="Times New Roman" w:eastAsia="Times New Roman" w:hAnsi="Times New Roman" w:cs="Times New Roman"/>
          <w:color w:val="2A2A2A"/>
          <w:sz w:val="24"/>
          <w:szCs w:val="24"/>
          <w:highlight w:val="white"/>
        </w:rPr>
        <w:t xml:space="preserve"> In 1976, Congress passed legislation “mandating</w:t>
      </w:r>
      <w:r>
        <w:rPr>
          <w:rFonts w:ascii="Times New Roman" w:eastAsia="Times New Roman" w:hAnsi="Times New Roman" w:cs="Times New Roman"/>
          <w:color w:val="2A2A2A"/>
          <w:sz w:val="24"/>
          <w:szCs w:val="24"/>
        </w:rPr>
        <w:t xml:space="preserve"> the collection of information about U.S. residents of Mexican, Puerto Rican, Cuban, Central </w:t>
      </w:r>
      <w:r>
        <w:rPr>
          <w:rFonts w:ascii="Times New Roman" w:eastAsia="Times New Roman" w:hAnsi="Times New Roman" w:cs="Times New Roman"/>
          <w:color w:val="2A2A2A"/>
          <w:sz w:val="24"/>
          <w:szCs w:val="24"/>
        </w:rPr>
        <w:lastRenderedPageBreak/>
        <w:t>American, South American and other Spanish-speaking country origins.”</w:t>
      </w:r>
      <w:r>
        <w:rPr>
          <w:rFonts w:ascii="Times New Roman" w:eastAsia="Times New Roman" w:hAnsi="Times New Roman" w:cs="Times New Roman"/>
          <w:color w:val="2A2A2A"/>
          <w:sz w:val="24"/>
          <w:szCs w:val="24"/>
          <w:vertAlign w:val="superscript"/>
        </w:rPr>
        <w:footnoteReference w:id="7"/>
      </w:r>
      <w:r>
        <w:rPr>
          <w:rFonts w:ascii="Times New Roman" w:eastAsia="Times New Roman" w:hAnsi="Times New Roman" w:cs="Times New Roman"/>
          <w:color w:val="2A2A2A"/>
          <w:sz w:val="24"/>
          <w:szCs w:val="24"/>
        </w:rPr>
        <w:t xml:space="preserve"> Then, by the 90s, the term Hispanic was scrutinized for its connection to Spanish colonialism and the term Latino proposed as an alternative. In 1997 the federal government changed its directives to use Latino, and in 2000 the term was added to the U.S. Census. While Hispanic refers to those whose ancestry can be traced to Spain, and Latino traces one’s ancestry to Latin America, the two terms are generally used interchangeably. However, this does not mean that the terms are neutral or completely similar to one another. As will be shown, language carries power and connotations that surpass bureaucracy. </w:t>
      </w:r>
    </w:p>
    <w:p w14:paraId="00000022"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 xml:space="preserve">To unpack this understanding of naming further, I turn to Linda Martín Alcoff’s essay, “Latino vs. Hispanic: The Politics of Ethnic Names.” In her essay, Alcoff identifies that while questions about naming for Latinos are often attributed to intellectual debate or marketing strategy, “it is not </w:t>
      </w:r>
      <w:r>
        <w:rPr>
          <w:rFonts w:ascii="Times New Roman" w:eastAsia="Times New Roman" w:hAnsi="Times New Roman" w:cs="Times New Roman"/>
          <w:i/>
          <w:iCs/>
          <w:color w:val="2A2A2A"/>
          <w:sz w:val="24"/>
          <w:szCs w:val="24"/>
        </w:rPr>
        <w:t xml:space="preserve">always </w:t>
      </w:r>
      <w:r>
        <w:rPr>
          <w:rFonts w:ascii="Times New Roman" w:eastAsia="Times New Roman" w:hAnsi="Times New Roman" w:cs="Times New Roman"/>
          <w:color w:val="2A2A2A"/>
          <w:sz w:val="24"/>
          <w:szCs w:val="24"/>
        </w:rPr>
        <w:t>reducible to one of these relatively artificial sources.”</w:t>
      </w:r>
      <w:r>
        <w:rPr>
          <w:rFonts w:ascii="Times New Roman" w:eastAsia="Times New Roman" w:hAnsi="Times New Roman" w:cs="Times New Roman"/>
          <w:color w:val="2A2A2A"/>
          <w:sz w:val="24"/>
          <w:szCs w:val="24"/>
          <w:vertAlign w:val="superscript"/>
        </w:rPr>
        <w:footnoteReference w:id="8"/>
      </w:r>
      <w:r>
        <w:rPr>
          <w:rFonts w:ascii="Times New Roman" w:eastAsia="Times New Roman" w:hAnsi="Times New Roman" w:cs="Times New Roman"/>
          <w:color w:val="2A2A2A"/>
          <w:sz w:val="24"/>
          <w:szCs w:val="24"/>
        </w:rPr>
        <w:t xml:space="preserve"> In fact, she adds, </w:t>
      </w:r>
    </w:p>
    <w:p w14:paraId="00000023" w14:textId="77777777" w:rsidR="00363360" w:rsidRDefault="00000000">
      <w:pPr>
        <w:spacing w:line="24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 xml:space="preserve">it is a very common experience among many Latinos to have our ethnic labels change as </w:t>
      </w:r>
    </w:p>
    <w:p w14:paraId="00000024" w14:textId="77777777" w:rsidR="00363360" w:rsidRDefault="00000000">
      <w:pPr>
        <w:spacing w:line="240" w:lineRule="auto"/>
        <w:ind w:left="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we enter the United States or even simply as we change locations within it. Because of this, Latinos are relatively sophisticated about the socially constructed character of names; because we experience the dynamism and instability of names, and because we understand the inherent relationship between names and social status.</w:t>
      </w:r>
      <w:r>
        <w:rPr>
          <w:rFonts w:ascii="Times New Roman" w:eastAsia="Times New Roman" w:hAnsi="Times New Roman" w:cs="Times New Roman"/>
          <w:color w:val="2A2A2A"/>
          <w:sz w:val="24"/>
          <w:szCs w:val="24"/>
          <w:vertAlign w:val="superscript"/>
        </w:rPr>
        <w:footnoteReference w:id="9"/>
      </w:r>
      <w:r>
        <w:rPr>
          <w:rFonts w:ascii="Times New Roman" w:eastAsia="Times New Roman" w:hAnsi="Times New Roman" w:cs="Times New Roman"/>
          <w:color w:val="2A2A2A"/>
          <w:sz w:val="24"/>
          <w:szCs w:val="24"/>
        </w:rPr>
        <w:t xml:space="preserve"> </w:t>
      </w:r>
    </w:p>
    <w:p w14:paraId="00000025" w14:textId="77777777" w:rsidR="00363360" w:rsidRDefault="00363360">
      <w:pPr>
        <w:spacing w:line="240" w:lineRule="auto"/>
        <w:ind w:left="720"/>
        <w:rPr>
          <w:rFonts w:ascii="Times New Roman" w:eastAsia="Times New Roman" w:hAnsi="Times New Roman" w:cs="Times New Roman"/>
          <w:color w:val="2A2A2A"/>
          <w:sz w:val="24"/>
          <w:szCs w:val="24"/>
        </w:rPr>
      </w:pPr>
    </w:p>
    <w:p w14:paraId="00000026" w14:textId="77777777" w:rsidR="00363360" w:rsidRDefault="00000000">
      <w:pPr>
        <w:spacing w:line="480" w:lineRule="auto"/>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She proceeds to make the case that “cultural naming is bound up with struggles of power and equality,” both in the ways we are misnamed and the ways we are named well.”</w:t>
      </w:r>
      <w:r>
        <w:rPr>
          <w:rFonts w:ascii="Times New Roman" w:eastAsia="Times New Roman" w:hAnsi="Times New Roman" w:cs="Times New Roman"/>
          <w:color w:val="2A2A2A"/>
          <w:sz w:val="24"/>
          <w:szCs w:val="24"/>
          <w:vertAlign w:val="superscript"/>
        </w:rPr>
        <w:footnoteReference w:id="10"/>
      </w:r>
      <w:r>
        <w:rPr>
          <w:rFonts w:ascii="Times New Roman" w:eastAsia="Times New Roman" w:hAnsi="Times New Roman" w:cs="Times New Roman"/>
          <w:color w:val="2A2A2A"/>
          <w:sz w:val="24"/>
          <w:szCs w:val="24"/>
        </w:rPr>
        <w:t xml:space="preserve"> This is because what is contested in the naming of things is “historical interpretation, political analysis, and </w:t>
      </w:r>
      <w:r>
        <w:rPr>
          <w:rFonts w:ascii="Times New Roman" w:eastAsia="Times New Roman" w:hAnsi="Times New Roman" w:cs="Times New Roman"/>
          <w:color w:val="2A2A2A"/>
          <w:sz w:val="24"/>
          <w:szCs w:val="24"/>
        </w:rPr>
        <w:lastRenderedPageBreak/>
        <w:t>alternative configurations of intra-community relationships.”</w:t>
      </w:r>
      <w:r>
        <w:rPr>
          <w:rFonts w:ascii="Times New Roman" w:eastAsia="Times New Roman" w:hAnsi="Times New Roman" w:cs="Times New Roman"/>
          <w:color w:val="2A2A2A"/>
          <w:sz w:val="24"/>
          <w:szCs w:val="24"/>
          <w:vertAlign w:val="superscript"/>
        </w:rPr>
        <w:footnoteReference w:id="11"/>
      </w:r>
      <w:r>
        <w:rPr>
          <w:rFonts w:ascii="Times New Roman" w:eastAsia="Times New Roman" w:hAnsi="Times New Roman" w:cs="Times New Roman"/>
          <w:color w:val="2A2A2A"/>
          <w:sz w:val="24"/>
          <w:szCs w:val="24"/>
        </w:rPr>
        <w:t xml:space="preserve"> Naming can foster alliances and disrupt them. Names are not only constructed, but also aid in shaping social reality, she contends. U.S. Latinos in particular have a deep knowledge of the salience of names because they experience the impact. Consider for a moment how an encounter with someone wielding a derogatory term negatively impacts an experience of a day, a person, or a place. When those terms are linked to one’s cultural identity, they have the power to impact one’s entire sense of self, and to impact how the wider society also views oneself and one’s cultural group. </w:t>
      </w:r>
    </w:p>
    <w:p w14:paraId="00000027"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 xml:space="preserve">While some might prefer to keep social ontologies separate from public deliberation, Alcoff observes that “In </w:t>
      </w:r>
      <w:r>
        <w:rPr>
          <w:rFonts w:ascii="Times New Roman" w:eastAsia="Times New Roman" w:hAnsi="Times New Roman" w:cs="Times New Roman"/>
          <w:i/>
          <w:iCs/>
          <w:color w:val="2A2A2A"/>
          <w:sz w:val="24"/>
          <w:szCs w:val="24"/>
        </w:rPr>
        <w:t>every</w:t>
      </w:r>
      <w:r>
        <w:rPr>
          <w:rFonts w:ascii="Times New Roman" w:eastAsia="Times New Roman" w:hAnsi="Times New Roman" w:cs="Times New Roman"/>
          <w:color w:val="2A2A2A"/>
          <w:sz w:val="24"/>
          <w:szCs w:val="24"/>
        </w:rPr>
        <w:t xml:space="preserve"> case this choosing [of names] is bound up with the political self-image and goals of the community </w:t>
      </w:r>
      <w:r>
        <w:rPr>
          <w:rFonts w:ascii="Times New Roman" w:eastAsia="Times New Roman" w:hAnsi="Times New Roman" w:cs="Times New Roman"/>
          <w:i/>
          <w:iCs/>
          <w:color w:val="2A2A2A"/>
          <w:sz w:val="24"/>
          <w:szCs w:val="24"/>
        </w:rPr>
        <w:t>or</w:t>
      </w:r>
      <w:r>
        <w:rPr>
          <w:rFonts w:ascii="Times New Roman" w:eastAsia="Times New Roman" w:hAnsi="Times New Roman" w:cs="Times New Roman"/>
          <w:color w:val="2A2A2A"/>
          <w:sz w:val="24"/>
          <w:szCs w:val="24"/>
        </w:rPr>
        <w:t xml:space="preserve"> those who dominate it.”</w:t>
      </w:r>
      <w:r>
        <w:rPr>
          <w:rFonts w:ascii="Times New Roman" w:eastAsia="Times New Roman" w:hAnsi="Times New Roman" w:cs="Times New Roman"/>
          <w:color w:val="2A2A2A"/>
          <w:sz w:val="24"/>
          <w:szCs w:val="24"/>
          <w:vertAlign w:val="superscript"/>
        </w:rPr>
        <w:footnoteReference w:id="12"/>
      </w:r>
      <w:r>
        <w:rPr>
          <w:rFonts w:ascii="Times New Roman" w:eastAsia="Times New Roman" w:hAnsi="Times New Roman" w:cs="Times New Roman"/>
          <w:color w:val="2A2A2A"/>
          <w:sz w:val="24"/>
          <w:szCs w:val="24"/>
        </w:rPr>
        <w:t xml:space="preserve"> That is to say that naming is tied up with both political self-determination and coloniality as much as it is about something deeply human and universal. Alcoff contends that from this we can say that “the choice of ethnic names cannot operate with disregard for the lived experiences of those for whom the names are meant to apply, and this provides a check on strategic agendas.”</w:t>
      </w:r>
      <w:r>
        <w:rPr>
          <w:rFonts w:ascii="Times New Roman" w:eastAsia="Times New Roman" w:hAnsi="Times New Roman" w:cs="Times New Roman"/>
          <w:color w:val="2A2A2A"/>
          <w:sz w:val="24"/>
          <w:szCs w:val="24"/>
          <w:vertAlign w:val="superscript"/>
        </w:rPr>
        <w:footnoteReference w:id="13"/>
      </w:r>
      <w:r>
        <w:rPr>
          <w:rFonts w:ascii="Times New Roman" w:eastAsia="Times New Roman" w:hAnsi="Times New Roman" w:cs="Times New Roman"/>
          <w:color w:val="2A2A2A"/>
          <w:sz w:val="24"/>
          <w:szCs w:val="24"/>
        </w:rPr>
        <w:t xml:space="preserve"> In an especially powerful turn of phrase, Alcoff posits that “the salience of ethnic names in our society is not a choice; the only choice is </w:t>
      </w:r>
      <w:r>
        <w:rPr>
          <w:rFonts w:ascii="Times New Roman" w:eastAsia="Times New Roman" w:hAnsi="Times New Roman" w:cs="Times New Roman"/>
          <w:i/>
          <w:iCs/>
          <w:color w:val="2A2A2A"/>
          <w:sz w:val="24"/>
          <w:szCs w:val="24"/>
        </w:rPr>
        <w:t>how best to represent and explain that salience</w:t>
      </w:r>
      <w:r>
        <w:rPr>
          <w:rFonts w:ascii="Times New Roman" w:eastAsia="Times New Roman" w:hAnsi="Times New Roman" w:cs="Times New Roman"/>
          <w:color w:val="2A2A2A"/>
          <w:sz w:val="24"/>
          <w:szCs w:val="24"/>
        </w:rPr>
        <w:t>.”</w:t>
      </w:r>
      <w:r>
        <w:rPr>
          <w:rFonts w:ascii="Times New Roman" w:eastAsia="Times New Roman" w:hAnsi="Times New Roman" w:cs="Times New Roman"/>
          <w:color w:val="2A2A2A"/>
          <w:sz w:val="24"/>
          <w:szCs w:val="24"/>
          <w:vertAlign w:val="superscript"/>
        </w:rPr>
        <w:footnoteReference w:id="14"/>
      </w:r>
      <w:r>
        <w:rPr>
          <w:rFonts w:ascii="Times New Roman" w:eastAsia="Times New Roman" w:hAnsi="Times New Roman" w:cs="Times New Roman"/>
          <w:color w:val="2A2A2A"/>
          <w:sz w:val="24"/>
          <w:szCs w:val="24"/>
        </w:rPr>
        <w:t xml:space="preserve"> Alcoff summarizes her line of argumentation by stating that while naming is political, it also has to connect in some way to lived experience. If naming is inherently political, then it is also theological. In the next section I will take up the question of naming from a theological perspective. </w:t>
      </w:r>
    </w:p>
    <w:p w14:paraId="00000028" w14:textId="77777777" w:rsidR="00363360" w:rsidRDefault="00000000">
      <w:pPr>
        <w:spacing w:line="480" w:lineRule="auto"/>
        <w:rPr>
          <w:rFonts w:ascii="Times New Roman" w:eastAsia="Times New Roman" w:hAnsi="Times New Roman" w:cs="Times New Roman"/>
          <w:b/>
          <w:bCs/>
          <w:color w:val="2A2A2A"/>
          <w:sz w:val="24"/>
          <w:szCs w:val="24"/>
        </w:rPr>
      </w:pPr>
      <w:r>
        <w:rPr>
          <w:rFonts w:ascii="Times New Roman" w:eastAsia="Times New Roman" w:hAnsi="Times New Roman" w:cs="Times New Roman"/>
          <w:b/>
          <w:bCs/>
          <w:color w:val="2A2A2A"/>
          <w:sz w:val="24"/>
          <w:szCs w:val="24"/>
        </w:rPr>
        <w:t>Naming in a Theological Key</w:t>
      </w:r>
    </w:p>
    <w:p w14:paraId="00000029"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lastRenderedPageBreak/>
        <w:t xml:space="preserve">One need only look to Scripture to begin to understand the salience of naming. For instance, in Moses’ encounter with God in the burning bush, central to Moses’ commission is his ability to name God: </w:t>
      </w:r>
    </w:p>
    <w:p w14:paraId="0000002A" w14:textId="77777777" w:rsidR="00363360"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said Moses to God, “if I go to the Israelites and say to them, ‘The God of your </w:t>
      </w:r>
    </w:p>
    <w:p w14:paraId="0000002B" w14:textId="77777777" w:rsidR="00363360"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ancestors has sent me to you,” and they ask me, ‘What is his name?’ What do I tell them? God replied to Moses: I am who I am. Then he added: This is what you will tell the Israelites: I AM has sent me to you. </w:t>
      </w:r>
    </w:p>
    <w:p w14:paraId="0000002C" w14:textId="77777777" w:rsidR="00363360"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God spoke further to Moses: This is what you will say to the Israelites: The </w:t>
      </w:r>
      <w:r>
        <w:rPr>
          <w:rFonts w:ascii="Times New Roman" w:eastAsia="Times New Roman" w:hAnsi="Times New Roman" w:cs="Times New Roman"/>
          <w:smallCaps/>
          <w:sz w:val="24"/>
          <w:szCs w:val="24"/>
        </w:rPr>
        <w:t>Lord</w:t>
      </w:r>
      <w:r>
        <w:rPr>
          <w:rFonts w:ascii="Times New Roman" w:eastAsia="Times New Roman" w:hAnsi="Times New Roman" w:cs="Times New Roman"/>
          <w:sz w:val="24"/>
          <w:szCs w:val="24"/>
        </w:rPr>
        <w:t xml:space="preserve">, the God of your ancestors, the God of Abraham, the God of Isaac, and the God of Jacob, has sent me to you. This is my name forever; this is my title for all generations. (Ex 3:13–15, NABRE) </w:t>
      </w:r>
    </w:p>
    <w:p w14:paraId="0000002D" w14:textId="77777777" w:rsidR="00363360" w:rsidRDefault="00363360">
      <w:pPr>
        <w:spacing w:line="240" w:lineRule="auto"/>
        <w:rPr>
          <w:rFonts w:ascii="Times New Roman" w:eastAsia="Times New Roman" w:hAnsi="Times New Roman" w:cs="Times New Roman"/>
          <w:sz w:val="24"/>
          <w:szCs w:val="24"/>
        </w:rPr>
      </w:pPr>
    </w:p>
    <w:p w14:paraId="0000002E"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Moses’ encounter with God, Moses  is preoccupied with the name of the Divine. Moses and God recognize the important role naming plays in establishing a relationship with the Israelites. God as I AM communicates something about the identity of God, and about who God is to humankind. </w:t>
      </w:r>
    </w:p>
    <w:p w14:paraId="0000002F" w14:textId="77777777" w:rsidR="0036336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New Testament, there are multiple examples of Jesus calling others by name. In John’s account of the Resurrection, Mary Magdalene’s encounter with the Risen Lord illustrates a powerful example of the power to name:</w:t>
      </w:r>
    </w:p>
    <w:p w14:paraId="00000030" w14:textId="77777777" w:rsidR="0036336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she had said this, she turned around and saw Jesus there, but did not know it was </w:t>
      </w:r>
    </w:p>
    <w:p w14:paraId="00000031" w14:textId="77777777" w:rsidR="00363360" w:rsidRDefault="00000000">
      <w:pPr>
        <w:spacing w:line="240" w:lineRule="auto"/>
        <w:ind w:firstLine="720"/>
        <w:rPr>
          <w:rFonts w:ascii="Times New Roman" w:eastAsia="Times New Roman" w:hAnsi="Times New Roman" w:cs="Times New Roman"/>
          <w:b/>
          <w:bCs/>
          <w:sz w:val="24"/>
          <w:szCs w:val="24"/>
          <w:vertAlign w:val="superscript"/>
        </w:rPr>
      </w:pPr>
      <w:r>
        <w:rPr>
          <w:rFonts w:ascii="Times New Roman" w:eastAsia="Times New Roman" w:hAnsi="Times New Roman" w:cs="Times New Roman"/>
          <w:sz w:val="24"/>
          <w:szCs w:val="24"/>
        </w:rPr>
        <w:t>Jesus.</w:t>
      </w:r>
      <w:r>
        <w:rPr>
          <w:rFonts w:ascii="Times New Roman" w:eastAsia="Times New Roman" w:hAnsi="Times New Roman" w:cs="Times New Roman"/>
          <w:b/>
          <w:bCs/>
          <w:sz w:val="24"/>
          <w:szCs w:val="24"/>
          <w:vertAlign w:val="superscript"/>
        </w:rPr>
        <w:t xml:space="preserve"> </w:t>
      </w:r>
    </w:p>
    <w:p w14:paraId="00000032" w14:textId="77777777" w:rsidR="00363360"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Jesus said to her, “Woman, why are you weeping? Whom are you looking for?” She </w:t>
      </w:r>
    </w:p>
    <w:p w14:paraId="00000033" w14:textId="77777777" w:rsidR="00363360"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thought it was the gardener and said to him, “Sir, if you carried him away, tell me where </w:t>
      </w:r>
    </w:p>
    <w:p w14:paraId="00000034" w14:textId="77777777" w:rsidR="00363360" w:rsidRDefault="00000000">
      <w:pPr>
        <w:spacing w:line="240" w:lineRule="auto"/>
        <w:ind w:firstLine="720"/>
        <w:rPr>
          <w:rFonts w:ascii="Times New Roman" w:eastAsia="Times New Roman" w:hAnsi="Times New Roman" w:cs="Times New Roman"/>
          <w:b/>
          <w:bCs/>
          <w:sz w:val="24"/>
          <w:szCs w:val="24"/>
          <w:vertAlign w:val="superscript"/>
        </w:rPr>
      </w:pPr>
      <w:r>
        <w:rPr>
          <w:rFonts w:ascii="Times New Roman" w:eastAsia="Times New Roman" w:hAnsi="Times New Roman" w:cs="Times New Roman"/>
          <w:sz w:val="24"/>
          <w:szCs w:val="24"/>
        </w:rPr>
        <w:t xml:space="preserve">you laid him, and I will take him.” </w:t>
      </w:r>
    </w:p>
    <w:p w14:paraId="00000035" w14:textId="77777777" w:rsidR="00363360"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Jesus said to her, “Mary!” She turned and said to him in Hebrew, “Rabbouni,” which </w:t>
      </w:r>
    </w:p>
    <w:p w14:paraId="00000036" w14:textId="77777777" w:rsidR="00363360" w:rsidRDefault="00000000">
      <w:pPr>
        <w:spacing w:line="24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sz w:val="24"/>
          <w:szCs w:val="24"/>
        </w:rPr>
        <w:t>means Teacher. (Jn 20:14–16, NABRE)</w:t>
      </w:r>
    </w:p>
    <w:p w14:paraId="00000037" w14:textId="77777777" w:rsidR="00363360" w:rsidRDefault="00363360">
      <w:pPr>
        <w:spacing w:line="240" w:lineRule="auto"/>
        <w:ind w:firstLine="720"/>
        <w:rPr>
          <w:rFonts w:ascii="Times New Roman" w:eastAsia="Times New Roman" w:hAnsi="Times New Roman" w:cs="Times New Roman"/>
          <w:color w:val="2A2A2A"/>
          <w:sz w:val="24"/>
          <w:szCs w:val="24"/>
        </w:rPr>
      </w:pPr>
    </w:p>
    <w:p w14:paraId="00000038" w14:textId="77777777" w:rsidR="00363360" w:rsidRDefault="00000000">
      <w:pPr>
        <w:spacing w:line="480" w:lineRule="auto"/>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 xml:space="preserve">Here as in the scene from Exodus, naming comprises the basis of relationship. It is not until Mary is named by Jesus that she recognizes him for who he is. In turn, Mary names Jesus by calling out to him Teacher, one of the names Jesus’ followers would have had for him. By naming Jesus, Mary demonstrates that she knows who he is fundamentally. Their mutual naming reflects that they belong to each other. </w:t>
      </w:r>
    </w:p>
    <w:p w14:paraId="00000039"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lastRenderedPageBreak/>
        <w:t xml:space="preserve">These two biblical examples of naming represent many such instances of naming in Scripture. To name God and to be named by God are sacred acts that provide the foundation to our relationship with the Divine. In her book </w:t>
      </w:r>
      <w:r>
        <w:rPr>
          <w:rFonts w:ascii="Times New Roman" w:eastAsia="Times New Roman" w:hAnsi="Times New Roman" w:cs="Times New Roman"/>
          <w:i/>
          <w:iCs/>
          <w:color w:val="2A2A2A"/>
          <w:sz w:val="24"/>
          <w:szCs w:val="24"/>
        </w:rPr>
        <w:t>Naming God</w:t>
      </w:r>
      <w:r>
        <w:rPr>
          <w:rFonts w:ascii="Times New Roman" w:eastAsia="Times New Roman" w:hAnsi="Times New Roman" w:cs="Times New Roman"/>
          <w:color w:val="2A2A2A"/>
          <w:sz w:val="24"/>
          <w:szCs w:val="24"/>
        </w:rPr>
        <w:t>, Janet Soskice underlines the importance of this action. She explains her choice of the term ‘name’ when she writes:</w:t>
      </w:r>
    </w:p>
    <w:p w14:paraId="0000003A" w14:textId="77777777" w:rsidR="00363360" w:rsidRDefault="00000000">
      <w:pPr>
        <w:spacing w:line="240" w:lineRule="auto"/>
        <w:ind w:firstLine="720"/>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 xml:space="preserve">We use names to do things – all names and not just the names of God. We use names </w:t>
      </w:r>
    </w:p>
    <w:p w14:paraId="0000003B" w14:textId="77777777" w:rsidR="00363360" w:rsidRDefault="00000000">
      <w:pPr>
        <w:spacing w:line="240" w:lineRule="auto"/>
        <w:ind w:firstLine="720"/>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 xml:space="preserve">taxonomically to designate and identify, certainly, but this is only a subset of the uses we </w:t>
      </w:r>
    </w:p>
    <w:p w14:paraId="0000003C" w14:textId="77777777" w:rsidR="00363360" w:rsidRDefault="00000000">
      <w:pPr>
        <w:spacing w:line="240" w:lineRule="auto"/>
        <w:ind w:firstLine="720"/>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 xml:space="preserve">have for names and not the most useful subset if our topic is naming God. We use names </w:t>
      </w:r>
    </w:p>
    <w:p w14:paraId="0000003D" w14:textId="77777777" w:rsidR="00363360" w:rsidRDefault="00000000">
      <w:pPr>
        <w:spacing w:line="240" w:lineRule="auto"/>
        <w:ind w:firstLine="720"/>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 xml:space="preserve">to summon, to beseech, to cajole, to reproach, to endear and to praise. Indeed, a term only </w:t>
      </w:r>
    </w:p>
    <w:p w14:paraId="0000003E" w14:textId="77777777" w:rsidR="00363360" w:rsidRDefault="00000000">
      <w:pPr>
        <w:spacing w:line="240" w:lineRule="auto"/>
        <w:ind w:firstLine="720"/>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becomes a ‘name’ by virtue of some speaker or group of speakers using it as such.</w:t>
      </w:r>
      <w:r>
        <w:rPr>
          <w:rFonts w:ascii="Times New Roman" w:eastAsia="Times New Roman" w:hAnsi="Times New Roman" w:cs="Times New Roman"/>
          <w:color w:val="141413"/>
          <w:sz w:val="24"/>
          <w:szCs w:val="24"/>
          <w:vertAlign w:val="superscript"/>
        </w:rPr>
        <w:footnoteReference w:id="15"/>
      </w:r>
    </w:p>
    <w:p w14:paraId="0000003F" w14:textId="77777777" w:rsidR="00363360" w:rsidRDefault="00363360">
      <w:pPr>
        <w:spacing w:line="240" w:lineRule="auto"/>
        <w:ind w:firstLine="720"/>
        <w:rPr>
          <w:rFonts w:ascii="Times New Roman" w:eastAsia="Times New Roman" w:hAnsi="Times New Roman" w:cs="Times New Roman"/>
          <w:color w:val="141413"/>
          <w:sz w:val="24"/>
          <w:szCs w:val="24"/>
        </w:rPr>
      </w:pPr>
    </w:p>
    <w:p w14:paraId="00000040" w14:textId="77777777" w:rsidR="00363360" w:rsidRDefault="00000000">
      <w:pPr>
        <w:spacing w:line="480" w:lineRule="auto"/>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 xml:space="preserve">For Soskice, naming is a </w:t>
      </w:r>
      <w:r>
        <w:rPr>
          <w:rFonts w:ascii="Times New Roman" w:eastAsia="Times New Roman" w:hAnsi="Times New Roman" w:cs="Times New Roman"/>
          <w:i/>
          <w:iCs/>
          <w:color w:val="141413"/>
          <w:sz w:val="24"/>
          <w:szCs w:val="24"/>
        </w:rPr>
        <w:t>practice</w:t>
      </w:r>
      <w:r>
        <w:rPr>
          <w:rFonts w:ascii="Times New Roman" w:eastAsia="Times New Roman" w:hAnsi="Times New Roman" w:cs="Times New Roman"/>
          <w:color w:val="141413"/>
          <w:sz w:val="24"/>
          <w:szCs w:val="24"/>
        </w:rPr>
        <w:t>, one in which we participate actively. She draws from diverse sources in the Christian tradition to build up to the claim that naming is dynamic and can be newly imagined in our spiritual life. She speaks of the “gift of naming,” which does not establish dominion over the one named, but opens up the possibility for relationship.</w:t>
      </w:r>
      <w:r>
        <w:rPr>
          <w:rFonts w:ascii="Times New Roman" w:eastAsia="Times New Roman" w:hAnsi="Times New Roman" w:cs="Times New Roman"/>
          <w:color w:val="141413"/>
          <w:sz w:val="24"/>
          <w:szCs w:val="24"/>
          <w:vertAlign w:val="superscript"/>
        </w:rPr>
        <w:footnoteReference w:id="16"/>
      </w:r>
      <w:r>
        <w:rPr>
          <w:rFonts w:ascii="Times New Roman" w:eastAsia="Times New Roman" w:hAnsi="Times New Roman" w:cs="Times New Roman"/>
          <w:color w:val="141413"/>
          <w:sz w:val="24"/>
          <w:szCs w:val="24"/>
        </w:rPr>
        <w:t xml:space="preserve"> This is a remarkable dynamic, Soskice argues, stating: “That God can speak and be spoken to should strike us as astonishing….”</w:t>
      </w:r>
      <w:r>
        <w:rPr>
          <w:rFonts w:ascii="Times New Roman" w:eastAsia="Times New Roman" w:hAnsi="Times New Roman" w:cs="Times New Roman"/>
          <w:color w:val="141413"/>
          <w:sz w:val="24"/>
          <w:szCs w:val="24"/>
          <w:vertAlign w:val="superscript"/>
        </w:rPr>
        <w:footnoteReference w:id="17"/>
      </w:r>
      <w:r>
        <w:rPr>
          <w:rFonts w:ascii="Times New Roman" w:eastAsia="Times New Roman" w:hAnsi="Times New Roman" w:cs="Times New Roman"/>
          <w:color w:val="141413"/>
          <w:sz w:val="24"/>
          <w:szCs w:val="24"/>
        </w:rPr>
        <w:t xml:space="preserve"> At the same time, she traces that our naming of God exists in a long genealogy in which our ancestors of faith named God and which we draw upon in our own naming practices. Significant to our discussion here is that naming in a theological key is restored to its active verb form and viewed expansively for all that it accomplishes aside from mere classification. Like Alcoff, who maintains that naming is charged with power, theologically we may view naming as charged with the stuff of relationship. Naming has the power to call us forth into relationship with one another.  </w:t>
      </w:r>
    </w:p>
    <w:p w14:paraId="00000041" w14:textId="77777777" w:rsidR="00363360" w:rsidRDefault="00000000">
      <w:pPr>
        <w:spacing w:line="480" w:lineRule="auto"/>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ab/>
        <w:t xml:space="preserve">Naming also possesses the power to cultivate belonging and hospitality, argues Hannah Malcolm in her essay, “The Ethics of Local Belonging: A Theology of Naming Place.” Written </w:t>
      </w:r>
      <w:r>
        <w:rPr>
          <w:rFonts w:ascii="Times New Roman" w:eastAsia="Times New Roman" w:hAnsi="Times New Roman" w:cs="Times New Roman"/>
          <w:color w:val="141413"/>
          <w:sz w:val="24"/>
          <w:szCs w:val="24"/>
        </w:rPr>
        <w:lastRenderedPageBreak/>
        <w:t>through the lens of theologies of place and local ecological concerns, Malcolm presents the case that naming is “a form of dialogue with our surroundings. In order to participate, we must learn names from others, teach others the names we have learned or created, and rehearse those names which we believe are significant enough to commit to collective memory.”</w:t>
      </w:r>
      <w:r>
        <w:rPr>
          <w:rFonts w:ascii="Times New Roman" w:eastAsia="Times New Roman" w:hAnsi="Times New Roman" w:cs="Times New Roman"/>
          <w:color w:val="141413"/>
          <w:sz w:val="24"/>
          <w:szCs w:val="24"/>
          <w:vertAlign w:val="superscript"/>
        </w:rPr>
        <w:footnoteReference w:id="18"/>
      </w:r>
      <w:r>
        <w:rPr>
          <w:rFonts w:ascii="Times New Roman" w:eastAsia="Times New Roman" w:hAnsi="Times New Roman" w:cs="Times New Roman"/>
          <w:color w:val="141413"/>
          <w:sz w:val="24"/>
          <w:szCs w:val="24"/>
        </w:rPr>
        <w:t xml:space="preserve"> Naming has the capacity for good and evil, as any speech has, Malcolm argues. Therefore, naming ought to resist the logics of empire, domination, control, and even taxonomy. Malcolm draws from Jean-Louis Chrétien’s theology of naming, which “interprets the Genesis account of creature-naming as hospitality to other creatures.”</w:t>
      </w:r>
      <w:r>
        <w:rPr>
          <w:rFonts w:ascii="Times New Roman" w:eastAsia="Times New Roman" w:hAnsi="Times New Roman" w:cs="Times New Roman"/>
          <w:color w:val="141413"/>
          <w:sz w:val="24"/>
          <w:szCs w:val="24"/>
          <w:vertAlign w:val="superscript"/>
        </w:rPr>
        <w:footnoteReference w:id="19"/>
      </w:r>
      <w:r>
        <w:rPr>
          <w:rFonts w:ascii="Times New Roman" w:eastAsia="Times New Roman" w:hAnsi="Times New Roman" w:cs="Times New Roman"/>
          <w:color w:val="141413"/>
          <w:sz w:val="24"/>
          <w:szCs w:val="24"/>
        </w:rPr>
        <w:t xml:space="preserve"> On the flip side, “not-naming is not a neutral state but a decisive exclusion from the kind of shelter humans can offer.”</w:t>
      </w:r>
      <w:r>
        <w:rPr>
          <w:rFonts w:ascii="Times New Roman" w:eastAsia="Times New Roman" w:hAnsi="Times New Roman" w:cs="Times New Roman"/>
          <w:color w:val="141413"/>
          <w:sz w:val="24"/>
          <w:szCs w:val="24"/>
          <w:vertAlign w:val="superscript"/>
        </w:rPr>
        <w:footnoteReference w:id="20"/>
      </w:r>
      <w:r>
        <w:rPr>
          <w:rFonts w:ascii="Times New Roman" w:eastAsia="Times New Roman" w:hAnsi="Times New Roman" w:cs="Times New Roman"/>
          <w:color w:val="141413"/>
          <w:sz w:val="24"/>
          <w:szCs w:val="24"/>
        </w:rPr>
        <w:t xml:space="preserve"> In this vein, Malcolm observes that Chrétien believes that naming reflects a call and response relationship between oneself and the world, rather than a subject-object one. This capacity for speech and naming to establish hospitality, neighborliness, and relationship cannot be understated. Indeed, it points to the origins of the term Hispanic on the U.S. Census fifty years ago. U.S. Latinos, particularly Mexican-Americans, felt the political and social effects of exclusion by not being named as a group worthy of being counted among the U.S. population. The act of not-naming directly resulted in exclusion on a political front, which limited their capacity to thrive in the United States. </w:t>
      </w:r>
    </w:p>
    <w:p w14:paraId="00000042" w14:textId="77777777" w:rsidR="00363360" w:rsidRDefault="00000000">
      <w:pPr>
        <w:spacing w:line="480" w:lineRule="auto"/>
        <w:rPr>
          <w:rFonts w:ascii="Times New Roman" w:eastAsia="Times New Roman" w:hAnsi="Times New Roman" w:cs="Times New Roman"/>
          <w:color w:val="141413"/>
          <w:sz w:val="24"/>
          <w:szCs w:val="24"/>
        </w:rPr>
      </w:pPr>
      <w:r>
        <w:rPr>
          <w:rFonts w:ascii="Times New Roman" w:eastAsia="Times New Roman" w:hAnsi="Times New Roman" w:cs="Times New Roman"/>
          <w:color w:val="141413"/>
          <w:sz w:val="24"/>
          <w:szCs w:val="24"/>
        </w:rPr>
        <w:tab/>
        <w:t xml:space="preserve">In addition to reflecting hospitality, the precision of naming, as well as where names derive, also matters. Malcolm uses an everyday example of naming to make her point. She describes her young daughter touching hedges she passes by on a walk, and in doing so she senses through her touch that there are various kinds of hedges. Malcolm writes, “If, by contrast, </w:t>
      </w:r>
      <w:r>
        <w:rPr>
          <w:rFonts w:ascii="Times New Roman" w:eastAsia="Times New Roman" w:hAnsi="Times New Roman" w:cs="Times New Roman"/>
          <w:color w:val="141413"/>
          <w:sz w:val="24"/>
          <w:szCs w:val="24"/>
        </w:rPr>
        <w:lastRenderedPageBreak/>
        <w:t>each laurel, yew, and privet bush simply become ‘hedge,’ her attentiveness to their difference will diminish over time.”</w:t>
      </w:r>
      <w:r>
        <w:rPr>
          <w:rFonts w:ascii="Times New Roman" w:eastAsia="Times New Roman" w:hAnsi="Times New Roman" w:cs="Times New Roman"/>
          <w:color w:val="141413"/>
          <w:sz w:val="24"/>
          <w:szCs w:val="24"/>
          <w:vertAlign w:val="superscript"/>
        </w:rPr>
        <w:footnoteReference w:id="21"/>
      </w:r>
      <w:r>
        <w:rPr>
          <w:rFonts w:ascii="Times New Roman" w:eastAsia="Times New Roman" w:hAnsi="Times New Roman" w:cs="Times New Roman"/>
          <w:color w:val="141413"/>
          <w:sz w:val="24"/>
          <w:szCs w:val="24"/>
        </w:rPr>
        <w:t xml:space="preserve"> I do not mean here to conflate human persons with fauna, nor does Malcolm. However, this point is crucial. Naming is the first step in learning the intricacies and details of the other, of our neighbor, of our young people. To reduce the relevance of a name is to smooth over our particularities. The principles outlined here apply to human and non-human creatures who are all participants in naming. Humans, Malcolm argues, do not just name others but “also name and rename each other (for better or worse), creating new possibilities for imagining how we belong to each other.”</w:t>
      </w:r>
      <w:r>
        <w:rPr>
          <w:rFonts w:ascii="Times New Roman" w:eastAsia="Times New Roman" w:hAnsi="Times New Roman" w:cs="Times New Roman"/>
          <w:color w:val="141413"/>
          <w:sz w:val="24"/>
          <w:szCs w:val="24"/>
          <w:vertAlign w:val="superscript"/>
        </w:rPr>
        <w:footnoteReference w:id="22"/>
      </w:r>
      <w:r>
        <w:rPr>
          <w:rFonts w:ascii="Times New Roman" w:eastAsia="Times New Roman" w:hAnsi="Times New Roman" w:cs="Times New Roman"/>
          <w:color w:val="141413"/>
          <w:sz w:val="24"/>
          <w:szCs w:val="24"/>
        </w:rPr>
        <w:t xml:space="preserve"> She describes this process as communal: “Naming discerns and describes truth about the world and our relations to each other—and our relations to each other as diverse creatures, who are tasked with properly naming each other in order to know each other.”</w:t>
      </w:r>
      <w:r>
        <w:rPr>
          <w:rFonts w:ascii="Times New Roman" w:eastAsia="Times New Roman" w:hAnsi="Times New Roman" w:cs="Times New Roman"/>
          <w:color w:val="141413"/>
          <w:sz w:val="24"/>
          <w:szCs w:val="24"/>
          <w:vertAlign w:val="superscript"/>
        </w:rPr>
        <w:footnoteReference w:id="23"/>
      </w:r>
      <w:r>
        <w:rPr>
          <w:rFonts w:ascii="Times New Roman" w:eastAsia="Times New Roman" w:hAnsi="Times New Roman" w:cs="Times New Roman"/>
          <w:color w:val="141413"/>
          <w:sz w:val="24"/>
          <w:szCs w:val="24"/>
        </w:rPr>
        <w:t xml:space="preserve"> According to Chrétien, naming is hospitable when it is “offered out of humility, the product of attention to the other,”</w:t>
      </w:r>
      <w:r>
        <w:rPr>
          <w:rFonts w:ascii="Times New Roman" w:eastAsia="Times New Roman" w:hAnsi="Times New Roman" w:cs="Times New Roman"/>
          <w:color w:val="141413"/>
          <w:sz w:val="24"/>
          <w:szCs w:val="24"/>
          <w:vertAlign w:val="superscript"/>
        </w:rPr>
        <w:footnoteReference w:id="24"/>
      </w:r>
      <w:r>
        <w:rPr>
          <w:rFonts w:ascii="Times New Roman" w:eastAsia="Times New Roman" w:hAnsi="Times New Roman" w:cs="Times New Roman"/>
          <w:color w:val="141413"/>
          <w:sz w:val="24"/>
          <w:szCs w:val="24"/>
        </w:rPr>
        <w:t xml:space="preserve"> or deep and attentive listening to the other. Consider, for example, an ordinary example: upon meeting someone who speaks a language we do not, what is one of the only pieces of information we can communicate to that person? Our names. We do not need any other language to share this seemingly mundane, but deeply intimate, detail about ourselves.</w:t>
      </w:r>
    </w:p>
    <w:p w14:paraId="00000043" w14:textId="77777777" w:rsidR="00363360" w:rsidRDefault="00000000">
      <w:pPr>
        <w:spacing w:line="480" w:lineRule="auto"/>
        <w:rPr>
          <w:rFonts w:ascii="Times New Roman" w:eastAsia="Times New Roman" w:hAnsi="Times New Roman" w:cs="Times New Roman"/>
          <w:b/>
          <w:bCs/>
          <w:color w:val="2A2A2A"/>
          <w:sz w:val="24"/>
          <w:szCs w:val="24"/>
        </w:rPr>
      </w:pPr>
      <w:r>
        <w:rPr>
          <w:rFonts w:ascii="Times New Roman" w:eastAsia="Times New Roman" w:hAnsi="Times New Roman" w:cs="Times New Roman"/>
          <w:color w:val="141413"/>
          <w:sz w:val="24"/>
          <w:szCs w:val="24"/>
        </w:rPr>
        <w:tab/>
        <w:t xml:space="preserve">Naming is also redemptive work, Malcolm argues. As such, we are called to participate in this redemption. She argues that “When, likewise, we bear witness to the shared names of creatures or communities which have previously gone unnoticed, dismissed, or </w:t>
      </w:r>
      <w:r>
        <w:rPr>
          <w:rFonts w:ascii="Times New Roman" w:eastAsia="Times New Roman" w:hAnsi="Times New Roman" w:cs="Times New Roman"/>
          <w:i/>
          <w:iCs/>
          <w:color w:val="141413"/>
          <w:sz w:val="24"/>
          <w:szCs w:val="24"/>
        </w:rPr>
        <w:t>misnamed</w:t>
      </w:r>
      <w:r>
        <w:rPr>
          <w:rFonts w:ascii="Times New Roman" w:eastAsia="Times New Roman" w:hAnsi="Times New Roman" w:cs="Times New Roman"/>
          <w:color w:val="141413"/>
          <w:sz w:val="24"/>
          <w:szCs w:val="24"/>
        </w:rPr>
        <w:t xml:space="preserve">, we are remade in the image of the Christ who saw unnoticed signs of glory and called forth those </w:t>
      </w:r>
      <w:r>
        <w:rPr>
          <w:rFonts w:ascii="Times New Roman" w:eastAsia="Times New Roman" w:hAnsi="Times New Roman" w:cs="Times New Roman"/>
          <w:color w:val="141413"/>
          <w:sz w:val="24"/>
          <w:szCs w:val="24"/>
        </w:rPr>
        <w:lastRenderedPageBreak/>
        <w:t>whose voices had gone unheard.”</w:t>
      </w:r>
      <w:r>
        <w:rPr>
          <w:rFonts w:ascii="Times New Roman" w:eastAsia="Times New Roman" w:hAnsi="Times New Roman" w:cs="Times New Roman"/>
          <w:color w:val="141413"/>
          <w:sz w:val="24"/>
          <w:szCs w:val="24"/>
          <w:vertAlign w:val="superscript"/>
        </w:rPr>
        <w:footnoteReference w:id="25"/>
      </w:r>
      <w:r>
        <w:rPr>
          <w:rFonts w:ascii="Times New Roman" w:eastAsia="Times New Roman" w:hAnsi="Times New Roman" w:cs="Times New Roman"/>
          <w:color w:val="141413"/>
          <w:sz w:val="24"/>
          <w:szCs w:val="24"/>
        </w:rPr>
        <w:t xml:space="preserve"> In her view, the communal act of naming has the power not only to establish belonging, but also to transform belonging</w:t>
      </w:r>
      <w:r>
        <w:rPr>
          <w:rFonts w:ascii="Times New Roman" w:eastAsia="Times New Roman" w:hAnsi="Times New Roman" w:cs="Times New Roman"/>
          <w:color w:val="2A2A2A"/>
          <w:sz w:val="24"/>
          <w:szCs w:val="24"/>
        </w:rPr>
        <w:t>. Those human and non-human creatures made invisible or excluded can be lovingly brought into the fold of the community by being heard and named appropriately. Naming in a theological key has the capacity, therefore, to cultivate relationality, belonging, and redemption. When wielded otherwise, by misnaming or not-naming, it can perpetuate logics of coloniality, domination, and exclusion, as had historically happened in the case of U.S. Latinos. I now turn to the significance of naming in U.S. Latino theology.</w:t>
      </w:r>
    </w:p>
    <w:p w14:paraId="00000044" w14:textId="77777777" w:rsidR="00363360" w:rsidRDefault="00000000">
      <w:pPr>
        <w:spacing w:line="480" w:lineRule="auto"/>
        <w:rPr>
          <w:rFonts w:ascii="Times New Roman" w:eastAsia="Times New Roman" w:hAnsi="Times New Roman" w:cs="Times New Roman"/>
          <w:color w:val="2A2A2A"/>
          <w:sz w:val="24"/>
          <w:szCs w:val="24"/>
        </w:rPr>
      </w:pPr>
      <w:r>
        <w:rPr>
          <w:rFonts w:ascii="Times New Roman" w:eastAsia="Times New Roman" w:hAnsi="Times New Roman" w:cs="Times New Roman"/>
          <w:b/>
          <w:bCs/>
          <w:color w:val="2A2A2A"/>
          <w:sz w:val="24"/>
          <w:szCs w:val="24"/>
        </w:rPr>
        <w:t>Naming in a U.S. Latino Theological Key</w:t>
      </w:r>
    </w:p>
    <w:p w14:paraId="00000045"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Because naming is salient as a theological principle then it is most certainly relevant to U.S. Latino theology, which is rooted in the experiences and epistemologies of U.S. Latinos. Numerous U.S. Latino theologians have touched upon the issue of nomenclature in their respective works and in relation to their treatments of various theological topics.</w:t>
      </w:r>
      <w:r>
        <w:rPr>
          <w:rFonts w:ascii="Times New Roman" w:eastAsia="Times New Roman" w:hAnsi="Times New Roman" w:cs="Times New Roman"/>
          <w:color w:val="2A2A2A"/>
          <w:sz w:val="24"/>
          <w:szCs w:val="24"/>
          <w:vertAlign w:val="superscript"/>
        </w:rPr>
        <w:footnoteReference w:id="26"/>
      </w:r>
      <w:r>
        <w:rPr>
          <w:rFonts w:ascii="Times New Roman" w:eastAsia="Times New Roman" w:hAnsi="Times New Roman" w:cs="Times New Roman"/>
          <w:color w:val="2A2A2A"/>
          <w:sz w:val="24"/>
          <w:szCs w:val="24"/>
        </w:rPr>
        <w:t xml:space="preserve"> The challenge of naming is typically presented at the beginning of an essay, chapter, or book as it pertains to the theologian’s definition of terms and scope with respect to the larger project. As I see it, naming is not the central topic of theological reflection, but is grouped with questions about identity and culture that are central to U.S. Latino theology. We might read the treatments of such topics through the lens of naming in order to help us speak more effectively about its impact on U.S. Latinos.</w:t>
      </w:r>
    </w:p>
    <w:p w14:paraId="00000046"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lastRenderedPageBreak/>
        <w:t xml:space="preserve">One way naming has been talked about has been in connection to </w:t>
      </w:r>
      <w:r>
        <w:rPr>
          <w:rFonts w:ascii="Times New Roman" w:eastAsia="Times New Roman" w:hAnsi="Times New Roman" w:cs="Times New Roman"/>
          <w:i/>
          <w:iCs/>
          <w:color w:val="2A2A2A"/>
          <w:sz w:val="24"/>
          <w:szCs w:val="24"/>
        </w:rPr>
        <w:t>mestizaje</w:t>
      </w:r>
      <w:r>
        <w:rPr>
          <w:rFonts w:ascii="Times New Roman" w:eastAsia="Times New Roman" w:hAnsi="Times New Roman" w:cs="Times New Roman"/>
          <w:color w:val="2A2A2A"/>
          <w:sz w:val="24"/>
          <w:szCs w:val="24"/>
        </w:rPr>
        <w:t xml:space="preserve">, one of the early core generative themes in U.S. Latino theology. The first major treatment of </w:t>
      </w:r>
      <w:r>
        <w:rPr>
          <w:rFonts w:ascii="Times New Roman" w:eastAsia="Times New Roman" w:hAnsi="Times New Roman" w:cs="Times New Roman"/>
          <w:i/>
          <w:iCs/>
          <w:color w:val="2A2A2A"/>
          <w:sz w:val="24"/>
          <w:szCs w:val="24"/>
        </w:rPr>
        <w:t>mestizaje</w:t>
      </w:r>
      <w:r>
        <w:rPr>
          <w:rFonts w:ascii="Times New Roman" w:eastAsia="Times New Roman" w:hAnsi="Times New Roman" w:cs="Times New Roman"/>
          <w:color w:val="2A2A2A"/>
          <w:sz w:val="24"/>
          <w:szCs w:val="24"/>
        </w:rPr>
        <w:t xml:space="preserve"> originated with Virgilio Elizondo, who defines </w:t>
      </w:r>
      <w:r>
        <w:rPr>
          <w:rFonts w:ascii="Times New Roman" w:eastAsia="Times New Roman" w:hAnsi="Times New Roman" w:cs="Times New Roman"/>
          <w:i/>
          <w:iCs/>
          <w:color w:val="2A2A2A"/>
          <w:sz w:val="24"/>
          <w:szCs w:val="24"/>
        </w:rPr>
        <w:t xml:space="preserve">mestizaje </w:t>
      </w:r>
      <w:r>
        <w:rPr>
          <w:rFonts w:ascii="Times New Roman" w:eastAsia="Times New Roman" w:hAnsi="Times New Roman" w:cs="Times New Roman"/>
          <w:color w:val="2A2A2A"/>
          <w:sz w:val="24"/>
          <w:szCs w:val="24"/>
        </w:rPr>
        <w:t>broadly as “the generation of a new people from two disparate parent peoples.”</w:t>
      </w:r>
      <w:r>
        <w:rPr>
          <w:rFonts w:ascii="Times New Roman" w:eastAsia="Times New Roman" w:hAnsi="Times New Roman" w:cs="Times New Roman"/>
          <w:color w:val="2A2A2A"/>
          <w:sz w:val="24"/>
          <w:szCs w:val="24"/>
          <w:vertAlign w:val="superscript"/>
        </w:rPr>
        <w:footnoteReference w:id="27"/>
      </w:r>
      <w:r>
        <w:rPr>
          <w:rFonts w:ascii="Times New Roman" w:eastAsia="Times New Roman" w:hAnsi="Times New Roman" w:cs="Times New Roman"/>
          <w:color w:val="2A2A2A"/>
          <w:sz w:val="24"/>
          <w:szCs w:val="24"/>
        </w:rPr>
        <w:t xml:space="preserve"> Specifically, he traces the origins of two waves of </w:t>
      </w:r>
      <w:r>
        <w:rPr>
          <w:rFonts w:ascii="Times New Roman" w:eastAsia="Times New Roman" w:hAnsi="Times New Roman" w:cs="Times New Roman"/>
          <w:i/>
          <w:iCs/>
          <w:color w:val="2A2A2A"/>
          <w:sz w:val="24"/>
          <w:szCs w:val="24"/>
        </w:rPr>
        <w:t>mestizaje</w:t>
      </w:r>
      <w:r>
        <w:rPr>
          <w:rFonts w:ascii="Times New Roman" w:eastAsia="Times New Roman" w:hAnsi="Times New Roman" w:cs="Times New Roman"/>
          <w:color w:val="2A2A2A"/>
          <w:sz w:val="24"/>
          <w:szCs w:val="24"/>
        </w:rPr>
        <w:t xml:space="preserve">, that of the mixture between Europeans and Indigenous peoples during Spanish colonization and that of Anglo-Americans and Mexicans during the U.S. government’s acquisition of Mexican land. In his </w:t>
      </w:r>
      <w:r>
        <w:rPr>
          <w:rFonts w:ascii="Times New Roman" w:eastAsia="Times New Roman" w:hAnsi="Times New Roman" w:cs="Times New Roman"/>
          <w:i/>
          <w:iCs/>
          <w:color w:val="2A2A2A"/>
          <w:sz w:val="24"/>
          <w:szCs w:val="24"/>
        </w:rPr>
        <w:t>Galilean Journey</w:t>
      </w:r>
      <w:r>
        <w:rPr>
          <w:rFonts w:ascii="Times New Roman" w:eastAsia="Times New Roman" w:hAnsi="Times New Roman" w:cs="Times New Roman"/>
          <w:color w:val="2A2A2A"/>
          <w:sz w:val="24"/>
          <w:szCs w:val="24"/>
        </w:rPr>
        <w:t>, in which Elizondo examines the Mexican-American experience closely, he remarks that “</w:t>
      </w:r>
      <w:r>
        <w:rPr>
          <w:rFonts w:ascii="Times New Roman" w:eastAsia="Times New Roman" w:hAnsi="Times New Roman" w:cs="Times New Roman"/>
          <w:i/>
          <w:iCs/>
          <w:color w:val="2A2A2A"/>
          <w:sz w:val="24"/>
          <w:szCs w:val="24"/>
        </w:rPr>
        <w:t>Mestizaje</w:t>
      </w:r>
      <w:r>
        <w:rPr>
          <w:rFonts w:ascii="Times New Roman" w:eastAsia="Times New Roman" w:hAnsi="Times New Roman" w:cs="Times New Roman"/>
          <w:color w:val="2A2A2A"/>
          <w:sz w:val="24"/>
          <w:szCs w:val="24"/>
        </w:rPr>
        <w:t xml:space="preserve"> is feared by established groups because it is perceived as a threat to the barriers of separation that consolidate self-identity and security. It is perceived as a threat to the security of human belonging—that is, to the inherited cultural identity that clearly defines who I am to myself and to the world.”</w:t>
      </w:r>
      <w:r>
        <w:rPr>
          <w:rFonts w:ascii="Times New Roman" w:eastAsia="Times New Roman" w:hAnsi="Times New Roman" w:cs="Times New Roman"/>
          <w:color w:val="2A2A2A"/>
          <w:sz w:val="24"/>
          <w:szCs w:val="24"/>
          <w:vertAlign w:val="superscript"/>
        </w:rPr>
        <w:footnoteReference w:id="28"/>
      </w:r>
      <w:r>
        <w:rPr>
          <w:rFonts w:ascii="Times New Roman" w:eastAsia="Times New Roman" w:hAnsi="Times New Roman" w:cs="Times New Roman"/>
          <w:color w:val="2A2A2A"/>
          <w:sz w:val="24"/>
          <w:szCs w:val="24"/>
        </w:rPr>
        <w:t xml:space="preserve"> Often this threat results in the assimilation into the dominant parent in order to keep the lines around identity and allegiance clear.</w:t>
      </w:r>
    </w:p>
    <w:p w14:paraId="00000047"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 xml:space="preserve">I would argue that the issues and opportunities raised by </w:t>
      </w:r>
      <w:r>
        <w:rPr>
          <w:rFonts w:ascii="Times New Roman" w:eastAsia="Times New Roman" w:hAnsi="Times New Roman" w:cs="Times New Roman"/>
          <w:i/>
          <w:iCs/>
          <w:color w:val="2A2A2A"/>
          <w:sz w:val="24"/>
          <w:szCs w:val="24"/>
        </w:rPr>
        <w:t>mestizaje</w:t>
      </w:r>
      <w:r>
        <w:rPr>
          <w:rFonts w:ascii="Times New Roman" w:eastAsia="Times New Roman" w:hAnsi="Times New Roman" w:cs="Times New Roman"/>
          <w:color w:val="2A2A2A"/>
          <w:sz w:val="24"/>
          <w:szCs w:val="24"/>
        </w:rPr>
        <w:t xml:space="preserve"> among U.S. Latinos map onto the issues and opportunities raised by the issue of their naming. Indeed, what is called into question when we debate certain terms is actually the group’s (and all the groups within that group’s) ability to belong. The term Hispanic, with its association with Spain, came under scrutiny precisely because it signaled that Hispanics still belonged in some way to the Spanish colonizer in some meaningful way. The term Latino performs a similar function, indicating that someone belongs to Latin America. Both terms have been rejected by some because it denies the locus of their belonging, which they feel is to their country of origin. The adoption of an </w:t>
      </w:r>
      <w:r>
        <w:rPr>
          <w:rFonts w:ascii="Times New Roman" w:eastAsia="Times New Roman" w:hAnsi="Times New Roman" w:cs="Times New Roman"/>
          <w:color w:val="2A2A2A"/>
          <w:sz w:val="24"/>
          <w:szCs w:val="24"/>
        </w:rPr>
        <w:lastRenderedPageBreak/>
        <w:t xml:space="preserve">American identifier by later generations signifies to some that they belong to the U.S., while to others that is an abnegation of their cultural or familial roots, and thus a betrayal. </w:t>
      </w:r>
    </w:p>
    <w:p w14:paraId="00000048" w14:textId="77777777" w:rsidR="00363360" w:rsidRDefault="00000000">
      <w:pPr>
        <w:spacing w:line="480" w:lineRule="auto"/>
        <w:ind w:firstLine="720"/>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For Elizondo, assimilation and abnegation are not the only options available to Mexican-Americans (nor to most U.S. Latinos, I contend). Instead, he views the path forward through the forging of “a new culture, a new people.”</w:t>
      </w:r>
      <w:r>
        <w:rPr>
          <w:rFonts w:ascii="Times New Roman" w:eastAsia="Times New Roman" w:hAnsi="Times New Roman" w:cs="Times New Roman"/>
          <w:color w:val="2A2A2A"/>
          <w:sz w:val="24"/>
          <w:szCs w:val="24"/>
          <w:vertAlign w:val="superscript"/>
        </w:rPr>
        <w:footnoteReference w:id="29"/>
      </w:r>
      <w:r>
        <w:rPr>
          <w:rFonts w:ascii="Times New Roman" w:eastAsia="Times New Roman" w:hAnsi="Times New Roman" w:cs="Times New Roman"/>
          <w:color w:val="2A2A2A"/>
          <w:sz w:val="24"/>
          <w:szCs w:val="24"/>
        </w:rPr>
        <w:t xml:space="preserve"> This is not just a theory but a reality he describes witnessing already back in the early 1980s. A new creation is made possible by making a way where there is none to blend both parent peoples. This means neither rejecting one parent for the other, nor living fully as each parent does. It is not a middle way, but a new way that did not exist before. This new way should be nourished and permitted to grow, though we know that in our present day this is still a tall order for many to even tolerate, much less celebrate, in our multicultural and pluralist society. </w:t>
      </w:r>
    </w:p>
    <w:p w14:paraId="00000049"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w:t>
      </w:r>
      <w:r>
        <w:rPr>
          <w:rFonts w:ascii="Times New Roman" w:eastAsia="Times New Roman" w:hAnsi="Times New Roman" w:cs="Times New Roman"/>
          <w:i/>
          <w:iCs/>
          <w:sz w:val="24"/>
          <w:szCs w:val="24"/>
        </w:rPr>
        <w:t>mestizaje</w:t>
      </w:r>
      <w:r>
        <w:rPr>
          <w:rFonts w:ascii="Times New Roman" w:eastAsia="Times New Roman" w:hAnsi="Times New Roman" w:cs="Times New Roman"/>
          <w:sz w:val="24"/>
          <w:szCs w:val="24"/>
        </w:rPr>
        <w:t xml:space="preserve"> as a core theme has been critiqued by some scholars for smoothing over the painful history that causes the mixing of peoples and cultures,</w:t>
      </w:r>
      <w:r>
        <w:rPr>
          <w:rFonts w:ascii="Times New Roman" w:eastAsia="Times New Roman" w:hAnsi="Times New Roman" w:cs="Times New Roman"/>
          <w:sz w:val="24"/>
          <w:szCs w:val="24"/>
          <w:vertAlign w:val="superscript"/>
        </w:rPr>
        <w:footnoteReference w:id="30"/>
      </w:r>
      <w:r>
        <w:rPr>
          <w:rFonts w:ascii="Times New Roman" w:eastAsia="Times New Roman" w:hAnsi="Times New Roman" w:cs="Times New Roman"/>
          <w:sz w:val="24"/>
          <w:szCs w:val="24"/>
        </w:rPr>
        <w:t xml:space="preserve"> the capacity of U.S. Latinos to live in a new creation should not be overlooked. While imperfect, in the U.S. we have actually seen a grappling with this among Hispanic young adults who have searched for terminology that captures a growing desire for gender inclusivity in a language that is gendered. As a result, it is imperative that we tend to the proper naming of this population in order to name the new pathways being formed on a daily basis as waves of immigration to the U.S. continue to take place and people from all over Latin America find a home to belong here. </w:t>
      </w:r>
      <w:r>
        <w:rPr>
          <w:rFonts w:ascii="Times New Roman" w:eastAsia="Times New Roman" w:hAnsi="Times New Roman" w:cs="Times New Roman"/>
          <w:i/>
          <w:iCs/>
          <w:sz w:val="24"/>
          <w:szCs w:val="24"/>
        </w:rPr>
        <w:t>Mestizaje</w:t>
      </w:r>
      <w:r>
        <w:rPr>
          <w:rFonts w:ascii="Times New Roman" w:eastAsia="Times New Roman" w:hAnsi="Times New Roman" w:cs="Times New Roman"/>
          <w:sz w:val="24"/>
          <w:szCs w:val="24"/>
        </w:rPr>
        <w:t xml:space="preserve"> is one among other core themes in U.S. Latino theology that are in some way touched by the tensions around naming. This example provided here reveals that the core themes aid us in reflecting on </w:t>
      </w:r>
      <w:r>
        <w:rPr>
          <w:rFonts w:ascii="Times New Roman" w:eastAsia="Times New Roman" w:hAnsi="Times New Roman" w:cs="Times New Roman"/>
          <w:sz w:val="24"/>
          <w:szCs w:val="24"/>
        </w:rPr>
        <w:lastRenderedPageBreak/>
        <w:t xml:space="preserve">how to think about issues of naming. Still, I argue that naming is its own separate theme that is worthy of the theological reflection begun in the prior section. </w:t>
      </w:r>
    </w:p>
    <w:p w14:paraId="0000004A"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Implications for Practice</w:t>
      </w:r>
    </w:p>
    <w:p w14:paraId="0000004B" w14:textId="77777777" w:rsidR="0036336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Christian educators and ministers, naming is a project in generating belonging for the U.S. Latino youth whom we encounter. As discussed prior, appropriate naming is an act of honoring another’s dignity by its relational and redemptive nature. It is also not a neutral act by virtue of its political nature. Additionally, according to Linda Alcoff, “names have a constitutive effect on experience,” requiring that we “must be both backward- and forward-looking, in offering an account of historical formation as well as a project for the future.”</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This coheres with the account of belonging provided by philosopher James Greenaway in his book, </w:t>
      </w:r>
      <w:r>
        <w:rPr>
          <w:rFonts w:ascii="Times New Roman" w:eastAsia="Times New Roman" w:hAnsi="Times New Roman" w:cs="Times New Roman"/>
          <w:i/>
          <w:iCs/>
          <w:sz w:val="24"/>
          <w:szCs w:val="24"/>
        </w:rPr>
        <w:t>A Philosophy of Belonging</w:t>
      </w:r>
      <w:r>
        <w:rPr>
          <w:rFonts w:ascii="Times New Roman" w:eastAsia="Times New Roman" w:hAnsi="Times New Roman" w:cs="Times New Roman"/>
          <w:sz w:val="24"/>
          <w:szCs w:val="24"/>
        </w:rPr>
        <w:t xml:space="preserve">. Greenaway describes belonging as </w:t>
      </w:r>
      <w:r>
        <w:rPr>
          <w:rFonts w:ascii="Times New Roman" w:eastAsia="Times New Roman" w:hAnsi="Times New Roman" w:cs="Times New Roman"/>
          <w:i/>
          <w:iCs/>
          <w:sz w:val="24"/>
          <w:szCs w:val="24"/>
        </w:rPr>
        <w:t>existing-from</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existing-toward</w:t>
      </w:r>
      <w:r>
        <w:rPr>
          <w:rFonts w:ascii="Times New Roman" w:eastAsia="Times New Roman" w:hAnsi="Times New Roman" w:cs="Times New Roman"/>
          <w:sz w:val="24"/>
          <w:szCs w:val="24"/>
        </w:rPr>
        <w:t xml:space="preserve"> someone or something.</w:t>
      </w:r>
      <w:r>
        <w:rPr>
          <w:rFonts w:ascii="Times New Roman" w:eastAsia="Times New Roman" w:hAnsi="Times New Roman" w:cs="Times New Roman"/>
          <w:sz w:val="24"/>
          <w:szCs w:val="24"/>
          <w:vertAlign w:val="superscript"/>
        </w:rPr>
        <w:footnoteReference w:id="32"/>
      </w:r>
      <w:r>
        <w:rPr>
          <w:rFonts w:ascii="Times New Roman" w:eastAsia="Times New Roman" w:hAnsi="Times New Roman" w:cs="Times New Roman"/>
          <w:sz w:val="24"/>
          <w:szCs w:val="24"/>
        </w:rPr>
        <w:t xml:space="preserve"> Belonging has to account for both what grounds us, or that from which we originate, and those people or communities to which we want to belong. Thus, names partly constitute our belonging because they effectively </w:t>
      </w:r>
      <w:r>
        <w:rPr>
          <w:rFonts w:ascii="Times New Roman" w:eastAsia="Times New Roman" w:hAnsi="Times New Roman" w:cs="Times New Roman"/>
          <w:i/>
          <w:iCs/>
          <w:sz w:val="24"/>
          <w:szCs w:val="24"/>
        </w:rPr>
        <w:t>name</w:t>
      </w:r>
      <w:r>
        <w:rPr>
          <w:rFonts w:ascii="Times New Roman" w:eastAsia="Times New Roman" w:hAnsi="Times New Roman" w:cs="Times New Roman"/>
          <w:sz w:val="24"/>
          <w:szCs w:val="24"/>
        </w:rPr>
        <w:t xml:space="preserve"> that which we exist-from. In describing what they exist-toward, Alcoff contends that “in naming we affect a future which we need then to be accountable to, and we can only be accountable in opening up for discussion the political question of where we want to go.”</w:t>
      </w:r>
      <w:r>
        <w:rPr>
          <w:rFonts w:ascii="Times New Roman" w:eastAsia="Times New Roman" w:hAnsi="Times New Roman" w:cs="Times New Roman"/>
          <w:sz w:val="24"/>
          <w:szCs w:val="24"/>
          <w:vertAlign w:val="superscript"/>
        </w:rPr>
        <w:footnoteReference w:id="33"/>
      </w:r>
      <w:r>
        <w:rPr>
          <w:rFonts w:ascii="Times New Roman" w:eastAsia="Times New Roman" w:hAnsi="Times New Roman" w:cs="Times New Roman"/>
          <w:sz w:val="24"/>
          <w:szCs w:val="24"/>
        </w:rPr>
        <w:t xml:space="preserve"> For Alcoff, descriptive adequacy is not enough. Alcoff’s future-oriented depiction of naming signals that names impact experience in the present and in the future, for which we are all accountable. In a theological sense, naming has an eschatological dimension, beckoning the named into that for which they are named. From this, we can say that </w:t>
      </w:r>
      <w:r>
        <w:rPr>
          <w:rFonts w:ascii="Times New Roman" w:eastAsia="Times New Roman" w:hAnsi="Times New Roman" w:cs="Times New Roman"/>
          <w:sz w:val="24"/>
          <w:szCs w:val="24"/>
        </w:rPr>
        <w:lastRenderedPageBreak/>
        <w:t xml:space="preserve">names also constitute what we </w:t>
      </w:r>
      <w:r>
        <w:rPr>
          <w:rFonts w:ascii="Times New Roman" w:eastAsia="Times New Roman" w:hAnsi="Times New Roman" w:cs="Times New Roman"/>
          <w:i/>
          <w:iCs/>
          <w:sz w:val="24"/>
          <w:szCs w:val="24"/>
        </w:rPr>
        <w:t>exist-toward</w:t>
      </w:r>
      <w:r>
        <w:rPr>
          <w:rFonts w:ascii="Times New Roman" w:eastAsia="Times New Roman" w:hAnsi="Times New Roman" w:cs="Times New Roman"/>
          <w:sz w:val="24"/>
          <w:szCs w:val="24"/>
        </w:rPr>
        <w:t>. Names thus fulfill both aspects of authentic belonging.</w:t>
      </w:r>
    </w:p>
    <w:p w14:paraId="0000004C" w14:textId="77777777" w:rsidR="0036336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accountable parties in the project of naming, it is our responsibility to listen deeply to the subjectivity of others whom we call by name.</w:t>
      </w:r>
      <w:r>
        <w:rPr>
          <w:rFonts w:ascii="Times New Roman" w:eastAsia="Times New Roman" w:hAnsi="Times New Roman" w:cs="Times New Roman"/>
          <w:sz w:val="24"/>
          <w:szCs w:val="24"/>
          <w:vertAlign w:val="superscript"/>
        </w:rPr>
        <w:footnoteReference w:id="34"/>
      </w:r>
      <w:r>
        <w:rPr>
          <w:rFonts w:ascii="Times New Roman" w:eastAsia="Times New Roman" w:hAnsi="Times New Roman" w:cs="Times New Roman"/>
          <w:sz w:val="24"/>
          <w:szCs w:val="24"/>
        </w:rPr>
        <w:t xml:space="preserve"> Hannah Malcolm suggests that not only ought we name those who have been typically dismissed or ignored, but that “We can learn the names of creatures, landscape features, people, and places, and we can pass those names on in our speech.”</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To do this, we Christians must practice a deep listening like that of Moses or Mary Magdalene in order to come to know the other and to know them well. For those within the Catholic tradition, this is part of the call to practice synodal listening that is open to the other and open to where and how the Spirit is leading. In churches where a Hispanic ministry is operative, we might ask how, if at all, we have listened to the experiences of those parishioners and to the names by which they feel at home, and in turn, whether we have listened to their stories, their struggles, their triumphs. The same might be asked of school and university leaders who educate young people. </w:t>
      </w:r>
    </w:p>
    <w:p w14:paraId="0000004D" w14:textId="77777777" w:rsidR="0036336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issue is especially relevant to those of us who work with young people, especially adolescents and young adults, for this is a most critical time developmentally in their identity formation. During these years, young people, of all races and ethnicities, begin to internalize the societal messages about who they are and to discern for themselves who and how they choose to present to the outside world. What they </w:t>
      </w:r>
      <w:r>
        <w:rPr>
          <w:rFonts w:ascii="Times New Roman" w:eastAsia="Times New Roman" w:hAnsi="Times New Roman" w:cs="Times New Roman"/>
          <w:i/>
          <w:iCs/>
          <w:sz w:val="24"/>
          <w:szCs w:val="24"/>
        </w:rPr>
        <w:t>exist-from</w:t>
      </w:r>
      <w:r>
        <w:rPr>
          <w:rFonts w:ascii="Times New Roman" w:eastAsia="Times New Roman" w:hAnsi="Times New Roman" w:cs="Times New Roman"/>
          <w:sz w:val="24"/>
          <w:szCs w:val="24"/>
        </w:rPr>
        <w:t>—their interests, beliefs, families—constitute their developing sense of self.</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Among their peers, names and narratives carry an added pressure </w:t>
      </w:r>
      <w:r>
        <w:rPr>
          <w:rFonts w:ascii="Times New Roman" w:eastAsia="Times New Roman" w:hAnsi="Times New Roman" w:cs="Times New Roman"/>
          <w:sz w:val="24"/>
          <w:szCs w:val="24"/>
        </w:rPr>
        <w:lastRenderedPageBreak/>
        <w:t>to curate an image deemed acceptable, due to an increased sense of self-consciousness that is occurring developmentally. This can lead to confusion when a young person’s sense of self is misaligned with the perceived standards their peers and the adults in their lives have for them. This has ramifications for their sense of belonging. For Latino youth, this can become even more complicated by the fact that there are structural factors also at play in shaping their sense of belonging. In one study, researchers urge educators to be versed in political issues that impact Latino immigrant youth because the dynamics of racialization and immigration policies playing out beyond the walls of a classroom potentially impact how those young people experience belonging in their educational communities.</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According to the Springtide Research Institute, the three components of belonging identified among young people are being noticed, named, and known: “Students feel named when their interests, identities, and experiences are truly seen and valued—when schools create spaces that reflect who they are and what they care about, and when adults help them feel safe showing up as themselves.”</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If this is the case, then we must also notice and name the social systems structuring how they experience daily living. For Hispanic youth, this includes the tensions around how their belonging in wider society is at times questioned or, worse, rejected.</w:t>
      </w:r>
      <w:r>
        <w:rPr>
          <w:rFonts w:ascii="Times New Roman" w:eastAsia="Times New Roman" w:hAnsi="Times New Roman" w:cs="Times New Roman"/>
          <w:sz w:val="24"/>
          <w:szCs w:val="24"/>
          <w:vertAlign w:val="superscript"/>
        </w:rPr>
        <w:footnoteReference w:id="39"/>
      </w:r>
    </w:p>
    <w:p w14:paraId="0000004E" w14:textId="77777777" w:rsidR="0036336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all levels of church, we are called to participate in the sacred act of naming, which oftentimes means listening to those who have typically been mis- or not-named. It also means checking ourselves, and the ways we mis-name or fail to name others. It then requires that we </w:t>
      </w:r>
      <w:r>
        <w:rPr>
          <w:rFonts w:ascii="Times New Roman" w:eastAsia="Times New Roman" w:hAnsi="Times New Roman" w:cs="Times New Roman"/>
          <w:sz w:val="24"/>
          <w:szCs w:val="24"/>
        </w:rPr>
        <w:lastRenderedPageBreak/>
        <w:t xml:space="preserve">listen to how they would be named, rather than imposing our own names and perpetuating the injustice. Otherwise, we risk repeating the sins of the wider culture and participating in logics of coloniality, domination, and rejection. A church devoid of these logics requires that all members of the community internalize dispositions of relationality and redemption, all the while resisting the urge to limit human belonging. Our naming practices can and should be as expansive as the people they represent, and as inclusive as God’s love for the diversity of creation. This is our Christian duty. </w:t>
      </w:r>
    </w:p>
    <w:p w14:paraId="0000004F" w14:textId="77777777" w:rsidR="0036336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Conclusion</w:t>
      </w:r>
    </w:p>
    <w:p w14:paraId="4853ED00" w14:textId="77777777" w:rsidR="007F5A0B" w:rsidRDefault="00000000" w:rsidP="007F5A0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paper, I have aimed to address what is at stake when we speak of naming, terminology, and labels for U.S. Latino youth. While ostensibly naming is about taxonomy and description, history and experience has shown that it carries far more weight. The fact that it was not until the past fifty years that U.S. Hispanics were named as distinctive members of the population speaks volumes. However, the ability to be classified did not solve the issue of naming this community, nor did it achieve full political liberation. Indeed, controversies and questions about naming the Hispanic population are still alive and continue to impact the lived experiences of Latino youth, whose belonging in the U.S., we find, gets called into question. Logics of coloniality, domination, and taxonomy persist. Yet, a more expansive and inclusive theology of naming reveals that names are also holy. They establish relationships between the known and the knower; they redeem those who have been kept in the dark without any adequate name; and they form wider circles of belonging. In the next fifty years, Christians ought to heed the call to take seriously the graced nature of naming and to listen to U.S. Latinos within and outside of the church in order to call them by name well and to know their sacred stories yet more intimately. </w:t>
      </w:r>
    </w:p>
    <w:p w14:paraId="00000055" w14:textId="65F021F7" w:rsidR="00363360" w:rsidRPr="007F5A0B" w:rsidRDefault="00000000" w:rsidP="007F5A0B">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Bibliography</w:t>
      </w:r>
    </w:p>
    <w:p w14:paraId="00000056"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Alcoff, Linda Martín. “Latino vs. Hispanic: The Politics of Ethnic Names.” </w:t>
      </w:r>
      <w:r>
        <w:rPr>
          <w:rFonts w:ascii="Times New Roman" w:eastAsia="Times New Roman" w:hAnsi="Times New Roman" w:cs="Times New Roman"/>
          <w:i/>
          <w:iCs/>
          <w:sz w:val="24"/>
          <w:szCs w:val="24"/>
        </w:rPr>
        <w:t>Philosophy &amp; Social Criticism</w:t>
      </w:r>
      <w:r>
        <w:rPr>
          <w:rFonts w:ascii="Times New Roman" w:eastAsia="Times New Roman" w:hAnsi="Times New Roman" w:cs="Times New Roman"/>
          <w:sz w:val="24"/>
          <w:szCs w:val="24"/>
        </w:rPr>
        <w:t xml:space="preserve"> 31, no. 4 (2005): 395–407.</w:t>
      </w:r>
    </w:p>
    <w:p w14:paraId="00000057" w14:textId="77777777" w:rsidR="00363360" w:rsidRDefault="00363360">
      <w:pPr>
        <w:rPr>
          <w:rFonts w:ascii="Times New Roman" w:eastAsia="Times New Roman" w:hAnsi="Times New Roman" w:cs="Times New Roman"/>
          <w:sz w:val="24"/>
          <w:szCs w:val="24"/>
        </w:rPr>
      </w:pPr>
    </w:p>
    <w:p w14:paraId="00000058"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Álvarez, Brenda. “The Trauma Immigration Raids Leave in Classrooms.” </w:t>
      </w:r>
      <w:r>
        <w:rPr>
          <w:rFonts w:ascii="Times New Roman" w:eastAsia="Times New Roman" w:hAnsi="Times New Roman" w:cs="Times New Roman"/>
          <w:i/>
          <w:iCs/>
          <w:sz w:val="24"/>
          <w:szCs w:val="24"/>
        </w:rPr>
        <w:t>National Education Association</w:t>
      </w:r>
      <w:r>
        <w:rPr>
          <w:rFonts w:ascii="Times New Roman" w:eastAsia="Times New Roman" w:hAnsi="Times New Roman" w:cs="Times New Roman"/>
          <w:sz w:val="24"/>
          <w:szCs w:val="24"/>
        </w:rPr>
        <w:t>, September 10, 2025.</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https://www.nea.org/nea-today/all-news-articles/trauma-immigration-raids-leave-classrooms</w:t>
        </w:r>
      </w:hyperlink>
      <w:r>
        <w:rPr>
          <w:rFonts w:ascii="Times New Roman" w:eastAsia="Times New Roman" w:hAnsi="Times New Roman" w:cs="Times New Roman"/>
          <w:sz w:val="24"/>
          <w:szCs w:val="24"/>
        </w:rPr>
        <w:t>.</w:t>
      </w:r>
    </w:p>
    <w:p w14:paraId="00000059" w14:textId="77777777" w:rsidR="00363360" w:rsidRDefault="00363360">
      <w:pPr>
        <w:rPr>
          <w:rFonts w:ascii="Times New Roman" w:eastAsia="Times New Roman" w:hAnsi="Times New Roman" w:cs="Times New Roman"/>
          <w:sz w:val="24"/>
          <w:szCs w:val="24"/>
        </w:rPr>
      </w:pPr>
    </w:p>
    <w:p w14:paraId="0000005A"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Bishop, Marlon and Camilo Vargas. “The Invention of Hispanics.” </w:t>
      </w:r>
      <w:r>
        <w:rPr>
          <w:rFonts w:ascii="Times New Roman" w:eastAsia="Times New Roman" w:hAnsi="Times New Roman" w:cs="Times New Roman"/>
          <w:i/>
          <w:iCs/>
          <w:sz w:val="24"/>
          <w:szCs w:val="24"/>
        </w:rPr>
        <w:t>Latino USA</w:t>
      </w:r>
      <w:r>
        <w:rPr>
          <w:rFonts w:ascii="Times New Roman" w:eastAsia="Times New Roman" w:hAnsi="Times New Roman" w:cs="Times New Roman"/>
          <w:sz w:val="24"/>
          <w:szCs w:val="24"/>
        </w:rPr>
        <w:t>, May 2, 2014.</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https://www.latinousa.org/2014/05/02/invention-hispanics/</w:t>
        </w:r>
      </w:hyperlink>
      <w:r>
        <w:rPr>
          <w:rFonts w:ascii="Times New Roman" w:eastAsia="Times New Roman" w:hAnsi="Times New Roman" w:cs="Times New Roman"/>
          <w:sz w:val="24"/>
          <w:szCs w:val="24"/>
        </w:rPr>
        <w:t xml:space="preserve">. </w:t>
      </w:r>
    </w:p>
    <w:p w14:paraId="0000005B" w14:textId="77777777" w:rsidR="00363360" w:rsidRDefault="00363360">
      <w:pPr>
        <w:rPr>
          <w:rFonts w:ascii="Times New Roman" w:eastAsia="Times New Roman" w:hAnsi="Times New Roman" w:cs="Times New Roman"/>
          <w:sz w:val="24"/>
          <w:szCs w:val="24"/>
        </w:rPr>
      </w:pPr>
    </w:p>
    <w:p w14:paraId="0000005C"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Bustamante, Luis Noé, Lauren Mora, and Mark Hugo Lopez. “About One-in-Four U.S. Hispanics Have Heard of Latinx, but Just 3% Use It: Young Hispanic women among the most likely to use the term.” </w:t>
      </w:r>
      <w:r>
        <w:rPr>
          <w:rFonts w:ascii="Times New Roman" w:eastAsia="Times New Roman" w:hAnsi="Times New Roman" w:cs="Times New Roman"/>
          <w:i/>
          <w:iCs/>
          <w:sz w:val="24"/>
          <w:szCs w:val="24"/>
        </w:rPr>
        <w:t>Pew Research Center</w:t>
      </w:r>
      <w:r>
        <w:rPr>
          <w:rFonts w:ascii="Times New Roman" w:eastAsia="Times New Roman" w:hAnsi="Times New Roman" w:cs="Times New Roman"/>
          <w:sz w:val="24"/>
          <w:szCs w:val="24"/>
        </w:rPr>
        <w:t>, August 11, 2020.</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https://www.pewresearch.org/hispanic/2020/08/11/about-one-in-four-u-s-hispanics-have-heard-of-latinx-but-just-3-use-it/</w:t>
        </w:r>
      </w:hyperlink>
      <w:r>
        <w:rPr>
          <w:rFonts w:ascii="Times New Roman" w:eastAsia="Times New Roman" w:hAnsi="Times New Roman" w:cs="Times New Roman"/>
          <w:sz w:val="24"/>
          <w:szCs w:val="24"/>
        </w:rPr>
        <w:t>.</w:t>
      </w:r>
    </w:p>
    <w:p w14:paraId="0000005D" w14:textId="77777777" w:rsidR="00363360" w:rsidRDefault="00363360">
      <w:pPr>
        <w:rPr>
          <w:rFonts w:ascii="Times New Roman" w:eastAsia="Times New Roman" w:hAnsi="Times New Roman" w:cs="Times New Roman"/>
          <w:sz w:val="24"/>
          <w:szCs w:val="24"/>
        </w:rPr>
      </w:pPr>
    </w:p>
    <w:p w14:paraId="0000005E"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Elizondo, Virgilio. </w:t>
      </w:r>
      <w:r>
        <w:rPr>
          <w:rFonts w:ascii="Times New Roman" w:eastAsia="Times New Roman" w:hAnsi="Times New Roman" w:cs="Times New Roman"/>
          <w:i/>
          <w:iCs/>
          <w:sz w:val="24"/>
          <w:szCs w:val="24"/>
        </w:rPr>
        <w:t>Galilean Journey: The Mexican-American Promise</w:t>
      </w:r>
      <w:r>
        <w:rPr>
          <w:rFonts w:ascii="Times New Roman" w:eastAsia="Times New Roman" w:hAnsi="Times New Roman" w:cs="Times New Roman"/>
          <w:sz w:val="24"/>
          <w:szCs w:val="24"/>
        </w:rPr>
        <w:t>. Orbis Books, 2000.</w:t>
      </w:r>
    </w:p>
    <w:p w14:paraId="0000005F" w14:textId="77777777" w:rsidR="00363360" w:rsidRDefault="00363360">
      <w:pPr>
        <w:rPr>
          <w:rFonts w:ascii="Times New Roman" w:eastAsia="Times New Roman" w:hAnsi="Times New Roman" w:cs="Times New Roman"/>
          <w:sz w:val="24"/>
          <w:szCs w:val="24"/>
        </w:rPr>
      </w:pPr>
    </w:p>
    <w:p w14:paraId="00000060"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Greenaway, James. </w:t>
      </w:r>
      <w:r>
        <w:rPr>
          <w:rFonts w:ascii="Times New Roman" w:eastAsia="Times New Roman" w:hAnsi="Times New Roman" w:cs="Times New Roman"/>
          <w:i/>
          <w:iCs/>
          <w:sz w:val="24"/>
          <w:szCs w:val="24"/>
        </w:rPr>
        <w:t>A Philosophy of Belonging: Persons, Politics, Cosmos</w:t>
      </w:r>
      <w:r>
        <w:rPr>
          <w:rFonts w:ascii="Times New Roman" w:eastAsia="Times New Roman" w:hAnsi="Times New Roman" w:cs="Times New Roman"/>
          <w:sz w:val="24"/>
          <w:szCs w:val="24"/>
        </w:rPr>
        <w:t>. University of Notre Dame Press, 2023.</w:t>
      </w:r>
    </w:p>
    <w:p w14:paraId="00000061" w14:textId="77777777" w:rsidR="00363360" w:rsidRDefault="00363360">
      <w:pPr>
        <w:rPr>
          <w:rFonts w:ascii="Times New Roman" w:eastAsia="Times New Roman" w:hAnsi="Times New Roman" w:cs="Times New Roman"/>
          <w:sz w:val="24"/>
          <w:szCs w:val="24"/>
        </w:rPr>
      </w:pPr>
    </w:p>
    <w:p w14:paraId="00000062"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Student Belonging Shapes School Culture and Climate.” </w:t>
      </w:r>
      <w:r>
        <w:rPr>
          <w:rFonts w:ascii="Times New Roman" w:eastAsia="Times New Roman" w:hAnsi="Times New Roman" w:cs="Times New Roman"/>
          <w:i/>
          <w:iCs/>
          <w:sz w:val="24"/>
          <w:szCs w:val="24"/>
        </w:rPr>
        <w:t>Springtide Research Institute</w:t>
      </w:r>
      <w:r>
        <w:rPr>
          <w:rFonts w:ascii="Times New Roman" w:eastAsia="Times New Roman" w:hAnsi="Times New Roman" w:cs="Times New Roman"/>
          <w:sz w:val="24"/>
          <w:szCs w:val="24"/>
        </w:rPr>
        <w:t>.</w:t>
      </w:r>
      <w:hyperlink r:id="rId12">
        <w:r>
          <w:rPr>
            <w:rFonts w:ascii="Times New Roman" w:eastAsia="Times New Roman" w:hAnsi="Times New Roman" w:cs="Times New Roman"/>
            <w:sz w:val="24"/>
            <w:szCs w:val="24"/>
          </w:rPr>
          <w:t xml:space="preserve"> </w:t>
        </w:r>
      </w:hyperlink>
      <w:hyperlink r:id="rId13">
        <w:r>
          <w:rPr>
            <w:rFonts w:ascii="Times New Roman" w:eastAsia="Times New Roman" w:hAnsi="Times New Roman" w:cs="Times New Roman"/>
            <w:color w:val="1155CC"/>
            <w:sz w:val="24"/>
            <w:szCs w:val="24"/>
            <w:u w:val="single"/>
          </w:rPr>
          <w:t>https://link.springer.com/article/10.1007/s10648-025-10056-w</w:t>
        </w:r>
      </w:hyperlink>
      <w:r>
        <w:rPr>
          <w:rFonts w:ascii="Times New Roman" w:eastAsia="Times New Roman" w:hAnsi="Times New Roman" w:cs="Times New Roman"/>
          <w:sz w:val="24"/>
          <w:szCs w:val="24"/>
        </w:rPr>
        <w:t>.</w:t>
      </w:r>
    </w:p>
    <w:p w14:paraId="00000063" w14:textId="77777777" w:rsidR="00363360" w:rsidRDefault="00363360">
      <w:pPr>
        <w:rPr>
          <w:rFonts w:ascii="Times New Roman" w:eastAsia="Times New Roman" w:hAnsi="Times New Roman" w:cs="Times New Roman"/>
          <w:sz w:val="24"/>
          <w:szCs w:val="24"/>
        </w:rPr>
      </w:pPr>
    </w:p>
    <w:p w14:paraId="00000064"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Lopez, Mark Hugo, Jens Manuel Krogstad, and Jeffrey S. Passel. “Who is Hispanic?” </w:t>
      </w:r>
      <w:r>
        <w:rPr>
          <w:rFonts w:ascii="Times New Roman" w:eastAsia="Times New Roman" w:hAnsi="Times New Roman" w:cs="Times New Roman"/>
          <w:i/>
          <w:iCs/>
          <w:sz w:val="24"/>
          <w:szCs w:val="24"/>
        </w:rPr>
        <w:t>Pew Research Center</w:t>
      </w:r>
      <w:r>
        <w:rPr>
          <w:rFonts w:ascii="Times New Roman" w:eastAsia="Times New Roman" w:hAnsi="Times New Roman" w:cs="Times New Roman"/>
          <w:sz w:val="24"/>
          <w:szCs w:val="24"/>
        </w:rPr>
        <w:t xml:space="preserve">, September 12, 2024. </w:t>
      </w:r>
      <w:hyperlink r:id="rId14">
        <w:r>
          <w:rPr>
            <w:rFonts w:ascii="Times New Roman" w:eastAsia="Times New Roman" w:hAnsi="Times New Roman" w:cs="Times New Roman"/>
            <w:color w:val="1155CC"/>
            <w:sz w:val="24"/>
            <w:szCs w:val="24"/>
            <w:u w:val="single"/>
          </w:rPr>
          <w:t>https://www.pewresearch.org/short-reads/2024/09/12/who-is-hispanic/</w:t>
        </w:r>
      </w:hyperlink>
      <w:r>
        <w:rPr>
          <w:rFonts w:ascii="Times New Roman" w:eastAsia="Times New Roman" w:hAnsi="Times New Roman" w:cs="Times New Roman"/>
          <w:sz w:val="24"/>
          <w:szCs w:val="24"/>
        </w:rPr>
        <w:t>.</w:t>
      </w:r>
    </w:p>
    <w:p w14:paraId="00000065" w14:textId="77777777" w:rsidR="00363360" w:rsidRDefault="00363360">
      <w:pPr>
        <w:rPr>
          <w:rFonts w:ascii="Times New Roman" w:eastAsia="Times New Roman" w:hAnsi="Times New Roman" w:cs="Times New Roman"/>
          <w:sz w:val="24"/>
          <w:szCs w:val="24"/>
        </w:rPr>
      </w:pPr>
    </w:p>
    <w:p w14:paraId="00000066"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Lopez, Mark Hugo. “Hispanic Identity.” </w:t>
      </w:r>
      <w:r>
        <w:rPr>
          <w:rFonts w:ascii="Times New Roman" w:eastAsia="Times New Roman" w:hAnsi="Times New Roman" w:cs="Times New Roman"/>
          <w:i/>
          <w:iCs/>
          <w:sz w:val="24"/>
          <w:szCs w:val="24"/>
        </w:rPr>
        <w:t>Pew Research Center</w:t>
      </w:r>
      <w:r>
        <w:rPr>
          <w:rFonts w:ascii="Times New Roman" w:eastAsia="Times New Roman" w:hAnsi="Times New Roman" w:cs="Times New Roman"/>
          <w:sz w:val="24"/>
          <w:szCs w:val="24"/>
        </w:rPr>
        <w:t xml:space="preserve">, October 22, 2013. </w:t>
      </w:r>
      <w:hyperlink r:id="rId15">
        <w:r>
          <w:rPr>
            <w:rFonts w:ascii="Times New Roman" w:eastAsia="Times New Roman" w:hAnsi="Times New Roman" w:cs="Times New Roman"/>
            <w:color w:val="1155CC"/>
            <w:sz w:val="24"/>
            <w:szCs w:val="24"/>
            <w:u w:val="single"/>
          </w:rPr>
          <w:t>https://www.pewresearch.org/hispanic/2013/10/22/3-hispanic-identity/</w:t>
        </w:r>
      </w:hyperlink>
      <w:r>
        <w:rPr>
          <w:rFonts w:ascii="Times New Roman" w:eastAsia="Times New Roman" w:hAnsi="Times New Roman" w:cs="Times New Roman"/>
          <w:sz w:val="24"/>
          <w:szCs w:val="24"/>
        </w:rPr>
        <w:t>.</w:t>
      </w:r>
    </w:p>
    <w:p w14:paraId="00000067" w14:textId="77777777" w:rsidR="00363360" w:rsidRDefault="00363360">
      <w:pPr>
        <w:rPr>
          <w:rFonts w:ascii="Times New Roman" w:eastAsia="Times New Roman" w:hAnsi="Times New Roman" w:cs="Times New Roman"/>
          <w:sz w:val="24"/>
          <w:szCs w:val="24"/>
        </w:rPr>
      </w:pPr>
    </w:p>
    <w:p w14:paraId="00000068"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Malcolm, Hannah. “The Ethics of Local Belonging: A Theology of Naming Place.” </w:t>
      </w:r>
      <w:r>
        <w:rPr>
          <w:rFonts w:ascii="Times New Roman" w:eastAsia="Times New Roman" w:hAnsi="Times New Roman" w:cs="Times New Roman"/>
          <w:i/>
          <w:iCs/>
          <w:sz w:val="24"/>
          <w:szCs w:val="24"/>
        </w:rPr>
        <w:t>Studies in Christian Ethics</w:t>
      </w:r>
      <w:r>
        <w:rPr>
          <w:rFonts w:ascii="Times New Roman" w:eastAsia="Times New Roman" w:hAnsi="Times New Roman" w:cs="Times New Roman"/>
          <w:sz w:val="24"/>
          <w:szCs w:val="24"/>
        </w:rPr>
        <w:t xml:space="preserve"> 37, no. 4: 825–843.</w:t>
      </w:r>
    </w:p>
    <w:p w14:paraId="00000069" w14:textId="77777777" w:rsidR="00363360" w:rsidRDefault="00363360">
      <w:pPr>
        <w:rPr>
          <w:rFonts w:ascii="Times New Roman" w:eastAsia="Times New Roman" w:hAnsi="Times New Roman" w:cs="Times New Roman"/>
          <w:sz w:val="24"/>
          <w:szCs w:val="24"/>
        </w:rPr>
      </w:pPr>
    </w:p>
    <w:p w14:paraId="0000006A"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Medina, Nestor. </w:t>
      </w:r>
      <w:r>
        <w:rPr>
          <w:rFonts w:ascii="Times New Roman" w:eastAsia="Times New Roman" w:hAnsi="Times New Roman" w:cs="Times New Roman"/>
          <w:i/>
          <w:iCs/>
          <w:sz w:val="24"/>
          <w:szCs w:val="24"/>
        </w:rPr>
        <w:t>Mestizaje: (re)mapping race, culture, and faith in Latina/o Catholicism</w:t>
      </w:r>
      <w:r>
        <w:rPr>
          <w:rFonts w:ascii="Times New Roman" w:eastAsia="Times New Roman" w:hAnsi="Times New Roman" w:cs="Times New Roman"/>
          <w:sz w:val="24"/>
          <w:szCs w:val="24"/>
        </w:rPr>
        <w:t>. Orbis Books, 2009.</w:t>
      </w:r>
    </w:p>
    <w:p w14:paraId="0000006B" w14:textId="77777777" w:rsidR="00363360" w:rsidRDefault="00363360">
      <w:pPr>
        <w:rPr>
          <w:rFonts w:ascii="Times New Roman" w:eastAsia="Times New Roman" w:hAnsi="Times New Roman" w:cs="Times New Roman"/>
          <w:sz w:val="24"/>
          <w:szCs w:val="24"/>
        </w:rPr>
      </w:pPr>
    </w:p>
    <w:p w14:paraId="0000006C"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O’Keefe, Theresa. </w:t>
      </w:r>
      <w:r>
        <w:rPr>
          <w:rFonts w:ascii="Times New Roman" w:eastAsia="Times New Roman" w:hAnsi="Times New Roman" w:cs="Times New Roman"/>
          <w:i/>
          <w:iCs/>
          <w:sz w:val="24"/>
          <w:szCs w:val="24"/>
        </w:rPr>
        <w:t>Navigating Toward Adulthood: A Theology of Ministry with Adolescents</w:t>
      </w:r>
      <w:r>
        <w:rPr>
          <w:rFonts w:ascii="Times New Roman" w:eastAsia="Times New Roman" w:hAnsi="Times New Roman" w:cs="Times New Roman"/>
          <w:sz w:val="24"/>
          <w:szCs w:val="24"/>
        </w:rPr>
        <w:t>. Paulist Press, 2018.</w:t>
      </w:r>
    </w:p>
    <w:p w14:paraId="0000006D"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Peña, Jessica, Magdaliz Álvarez Figueroa, Merarys Rios-Vargas, and Rachel Marks. “One in Every Four Children in the United States Were of Hispanic Origin in 2020,” </w:t>
      </w:r>
      <w:r>
        <w:rPr>
          <w:rFonts w:ascii="Times New Roman" w:eastAsia="Times New Roman" w:hAnsi="Times New Roman" w:cs="Times New Roman"/>
          <w:i/>
          <w:iCs/>
          <w:sz w:val="24"/>
          <w:szCs w:val="24"/>
        </w:rPr>
        <w:t>US Census Bureau</w:t>
      </w:r>
      <w:r>
        <w:rPr>
          <w:rFonts w:ascii="Times New Roman" w:eastAsia="Times New Roman" w:hAnsi="Times New Roman" w:cs="Times New Roman"/>
          <w:sz w:val="24"/>
          <w:szCs w:val="24"/>
        </w:rPr>
        <w:t xml:space="preserve">, May 25, 2023. </w:t>
      </w:r>
      <w:hyperlink r:id="rId16">
        <w:r>
          <w:rPr>
            <w:rFonts w:ascii="Times New Roman" w:eastAsia="Times New Roman" w:hAnsi="Times New Roman" w:cs="Times New Roman"/>
            <w:color w:val="1155CC"/>
            <w:sz w:val="24"/>
            <w:szCs w:val="24"/>
            <w:u w:val="single"/>
          </w:rPr>
          <w:t>https://www.census.gov/library/stories/2023/05/hispanic-population-younger-but-aging-faster.html</w:t>
        </w:r>
      </w:hyperlink>
      <w:r>
        <w:rPr>
          <w:rFonts w:ascii="Times New Roman" w:eastAsia="Times New Roman" w:hAnsi="Times New Roman" w:cs="Times New Roman"/>
          <w:sz w:val="24"/>
          <w:szCs w:val="24"/>
        </w:rPr>
        <w:t>.</w:t>
      </w:r>
    </w:p>
    <w:p w14:paraId="0000006E" w14:textId="77777777" w:rsidR="00363360" w:rsidRDefault="00363360">
      <w:pPr>
        <w:rPr>
          <w:rFonts w:ascii="Times New Roman" w:eastAsia="Times New Roman" w:hAnsi="Times New Roman" w:cs="Times New Roman"/>
          <w:sz w:val="24"/>
          <w:szCs w:val="24"/>
        </w:rPr>
      </w:pPr>
    </w:p>
    <w:p w14:paraId="0000006F" w14:textId="77777777" w:rsidR="0036336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Rodriguez, Sophia, Melissa Ortiz, and Priscilla Alfaro. “School Belonging Is Not One Size Fits </w:t>
      </w:r>
    </w:p>
    <w:p w14:paraId="00000070" w14:textId="77777777" w:rsidR="0036336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A Call for Structural and Racialized Perspectives on School and Social Belonging for Latino Immigrant Youth.” </w:t>
      </w:r>
      <w:r>
        <w:rPr>
          <w:rFonts w:ascii="Times New Roman" w:eastAsia="Times New Roman" w:hAnsi="Times New Roman" w:cs="Times New Roman"/>
          <w:i/>
          <w:iCs/>
          <w:sz w:val="24"/>
          <w:szCs w:val="24"/>
        </w:rPr>
        <w:t>Educational Psychology Review</w:t>
      </w:r>
      <w:r>
        <w:rPr>
          <w:rFonts w:ascii="Times New Roman" w:eastAsia="Times New Roman" w:hAnsi="Times New Roman" w:cs="Times New Roman"/>
          <w:sz w:val="24"/>
          <w:szCs w:val="24"/>
        </w:rPr>
        <w:t xml:space="preserve"> 3, no. 83 (August 2025):  1–26. doi: 10.1007/s10648-025-10056-w.</w:t>
      </w:r>
    </w:p>
    <w:p w14:paraId="00000071" w14:textId="77777777" w:rsidR="00363360" w:rsidRDefault="00363360">
      <w:pPr>
        <w:rPr>
          <w:rFonts w:ascii="Times New Roman" w:eastAsia="Times New Roman" w:hAnsi="Times New Roman" w:cs="Times New Roman"/>
          <w:sz w:val="24"/>
          <w:szCs w:val="24"/>
        </w:rPr>
      </w:pPr>
    </w:p>
    <w:p w14:paraId="00000072"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Segovia, Fernando F. “Aliens in the Promised Land: The Manifest Destiny of U.S. Hispanic American Theology.” In </w:t>
      </w:r>
      <w:r>
        <w:rPr>
          <w:rFonts w:ascii="Times New Roman" w:eastAsia="Times New Roman" w:hAnsi="Times New Roman" w:cs="Times New Roman"/>
          <w:i/>
          <w:iCs/>
          <w:sz w:val="24"/>
          <w:szCs w:val="24"/>
        </w:rPr>
        <w:t>Hispanic/Latino Theology: Challenge and Promise</w:t>
      </w:r>
      <w:r>
        <w:rPr>
          <w:rFonts w:ascii="Times New Roman" w:eastAsia="Times New Roman" w:hAnsi="Times New Roman" w:cs="Times New Roman"/>
          <w:sz w:val="24"/>
          <w:szCs w:val="24"/>
        </w:rPr>
        <w:t>. Edited by Ada Maria Isasi-Díaz and Fernando F. Segovia, 15–42. Fortress Press, 1996.</w:t>
      </w:r>
    </w:p>
    <w:p w14:paraId="00000073" w14:textId="77777777" w:rsidR="00363360" w:rsidRDefault="00363360">
      <w:pPr>
        <w:rPr>
          <w:rFonts w:ascii="Times New Roman" w:eastAsia="Times New Roman" w:hAnsi="Times New Roman" w:cs="Times New Roman"/>
          <w:sz w:val="24"/>
          <w:szCs w:val="24"/>
        </w:rPr>
      </w:pPr>
    </w:p>
    <w:p w14:paraId="00000074"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Soskice, Janet. </w:t>
      </w:r>
      <w:r>
        <w:rPr>
          <w:rFonts w:ascii="Times New Roman" w:eastAsia="Times New Roman" w:hAnsi="Times New Roman" w:cs="Times New Roman"/>
          <w:i/>
          <w:iCs/>
          <w:sz w:val="24"/>
          <w:szCs w:val="24"/>
        </w:rPr>
        <w:t>Naming God: Addressing the Divine in Philosophy, Theology and Scripture</w:t>
      </w:r>
      <w:r>
        <w:rPr>
          <w:rFonts w:ascii="Times New Roman" w:eastAsia="Times New Roman" w:hAnsi="Times New Roman" w:cs="Times New Roman"/>
          <w:sz w:val="24"/>
          <w:szCs w:val="24"/>
        </w:rPr>
        <w:t>. Cambridge University Press, 2023.</w:t>
      </w:r>
    </w:p>
    <w:p w14:paraId="00000075" w14:textId="77777777" w:rsidR="00363360" w:rsidRDefault="00363360">
      <w:pPr>
        <w:rPr>
          <w:rFonts w:ascii="Times New Roman" w:eastAsia="Times New Roman" w:hAnsi="Times New Roman" w:cs="Times New Roman"/>
          <w:sz w:val="24"/>
          <w:szCs w:val="24"/>
        </w:rPr>
      </w:pPr>
    </w:p>
    <w:p w14:paraId="00000076" w14:textId="77777777" w:rsidR="0036336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“Young Adult Population Ages 18 to 24 By Race and Ethnicity in the U.S.” </w:t>
      </w:r>
      <w:r>
        <w:rPr>
          <w:rFonts w:ascii="Times New Roman" w:eastAsia="Times New Roman" w:hAnsi="Times New Roman" w:cs="Times New Roman"/>
          <w:i/>
          <w:iCs/>
          <w:sz w:val="24"/>
          <w:szCs w:val="24"/>
        </w:rPr>
        <w:t>The Annie E. Casey Foundation</w:t>
      </w:r>
      <w:r>
        <w:rPr>
          <w:rFonts w:ascii="Times New Roman" w:eastAsia="Times New Roman" w:hAnsi="Times New Roman" w:cs="Times New Roman"/>
          <w:sz w:val="24"/>
          <w:szCs w:val="24"/>
        </w:rPr>
        <w:t xml:space="preserve">, July 2026. </w:t>
      </w:r>
      <w:hyperlink r:id="rId17" w:anchor="detailed/1/any/false/575,1096,2545,1095,2048,574,1729,37,871,870/12,8367,69,67,70,71,66,7983/21595,21596">
        <w:r>
          <w:rPr>
            <w:rFonts w:ascii="Times New Roman" w:eastAsia="Times New Roman" w:hAnsi="Times New Roman" w:cs="Times New Roman"/>
            <w:sz w:val="24"/>
            <w:szCs w:val="24"/>
          </w:rPr>
          <w:t xml:space="preserve"> </w:t>
        </w:r>
      </w:hyperlink>
      <w:hyperlink r:id="rId18" w:anchor="detailed/1/any/false/575,1096,2545,1095,2048,574,1729,37,871,870/12,8367,69,67,70,71,66,7983/21595,21596">
        <w:r>
          <w:rPr>
            <w:rFonts w:ascii="Times New Roman" w:eastAsia="Times New Roman" w:hAnsi="Times New Roman" w:cs="Times New Roman"/>
            <w:color w:val="1155CC"/>
            <w:sz w:val="24"/>
            <w:szCs w:val="24"/>
            <w:u w:val="single"/>
          </w:rPr>
          <w:t>https://datacenter.aecf.org/data/tables/11207-young-adult-population-ages-18-to-24-by-race-and-ethnicity#detailed/1/any/false/575,1096,2545,1095,2048,574,1729,37,871,870/12,8367,69,67,70,71,66,7983/21595,21596</w:t>
        </w:r>
      </w:hyperlink>
      <w:r>
        <w:rPr>
          <w:rFonts w:ascii="Times New Roman" w:eastAsia="Times New Roman" w:hAnsi="Times New Roman" w:cs="Times New Roman"/>
          <w:sz w:val="24"/>
          <w:szCs w:val="24"/>
        </w:rPr>
        <w:t>.</w:t>
      </w:r>
    </w:p>
    <w:p w14:paraId="00000077" w14:textId="77777777" w:rsidR="00363360" w:rsidRDefault="00363360">
      <w:pPr>
        <w:spacing w:line="480" w:lineRule="auto"/>
        <w:rPr>
          <w:rFonts w:ascii="Times New Roman" w:eastAsia="Times New Roman" w:hAnsi="Times New Roman" w:cs="Times New Roman"/>
          <w:sz w:val="24"/>
          <w:szCs w:val="24"/>
        </w:rPr>
      </w:pPr>
    </w:p>
    <w:sectPr w:rsidR="00363360">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514112" w14:textId="77777777" w:rsidR="007337ED" w:rsidRDefault="007337ED">
      <w:pPr>
        <w:spacing w:line="240" w:lineRule="auto"/>
      </w:pPr>
      <w:r>
        <w:separator/>
      </w:r>
    </w:p>
  </w:endnote>
  <w:endnote w:type="continuationSeparator" w:id="0">
    <w:p w14:paraId="4E2FC176" w14:textId="77777777" w:rsidR="007337ED" w:rsidRDefault="007337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18BE2EF-0A5E-FD40-AF1C-C88D3BE39142}"/>
    <w:embedItalic r:id="rId2" w:fontKey="{5525E1F6-8516-9B43-B10E-97E2D6767F34}"/>
  </w:font>
  <w:font w:name="Times New Roman">
    <w:panose1 w:val="02020603050405020304"/>
    <w:charset w:val="00"/>
    <w:family w:val="roman"/>
    <w:pitch w:val="variable"/>
    <w:sig w:usb0="E0002EFF" w:usb1="C000785B" w:usb2="00000009" w:usb3="00000000" w:csb0="000001FF" w:csb1="00000000"/>
    <w:embedRegular r:id="rId3" w:fontKey="{099248FD-9C79-8E41-8DAA-F8B3FCC0D612}"/>
    <w:embedBold r:id="rId4" w:fontKey="{88D4ACB2-F9D4-FB4B-8A39-3AB424E3C4BF}"/>
    <w:embedItalic r:id="rId5" w:fontKey="{F579596F-BC44-E24E-A491-6148CB72B19F}"/>
  </w:font>
  <w:font w:name="Calibri">
    <w:panose1 w:val="020F0502020204030204"/>
    <w:charset w:val="00"/>
    <w:family w:val="swiss"/>
    <w:pitch w:val="variable"/>
    <w:sig w:usb0="E4002EFF" w:usb1="C000247B" w:usb2="00000009" w:usb3="00000000" w:csb0="000001FF" w:csb1="00000000"/>
    <w:embedRegular r:id="rId6" w:fontKey="{54D925C1-E15C-9B4A-8CF3-B2FB0BFBFA9A}"/>
  </w:font>
  <w:font w:name="Cambria">
    <w:panose1 w:val="02040503050406030204"/>
    <w:charset w:val="00"/>
    <w:family w:val="roman"/>
    <w:pitch w:val="variable"/>
    <w:sig w:usb0="E00006FF" w:usb1="420024FF" w:usb2="02000000" w:usb3="00000000" w:csb0="0000019F" w:csb1="00000000"/>
    <w:embedRegular r:id="rId7" w:fontKey="{52A46E15-1D24-C145-9211-02C613D014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B77F1C" w14:textId="77777777" w:rsidR="007F5A0B" w:rsidRDefault="007F5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056F80" w14:textId="77777777" w:rsidR="007F5A0B" w:rsidRDefault="007F5A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A7745" w14:textId="77777777" w:rsidR="007F5A0B" w:rsidRDefault="007F5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AB84A7" w14:textId="77777777" w:rsidR="007337ED" w:rsidRDefault="007337ED">
      <w:pPr>
        <w:spacing w:line="240" w:lineRule="auto"/>
      </w:pPr>
      <w:r>
        <w:separator/>
      </w:r>
    </w:p>
  </w:footnote>
  <w:footnote w:type="continuationSeparator" w:id="0">
    <w:p w14:paraId="69BF48AD" w14:textId="77777777" w:rsidR="007337ED" w:rsidRDefault="007337ED">
      <w:pPr>
        <w:spacing w:line="240" w:lineRule="auto"/>
      </w:pPr>
      <w:r>
        <w:continuationSeparator/>
      </w:r>
    </w:p>
  </w:footnote>
  <w:footnote w:id="1">
    <w:p w14:paraId="0000007E"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Mark Hugo Lopez, Jens Manuel Krogstad, and Jeffrey S. Passel, “Who is Hispanic?” </w:t>
      </w:r>
      <w:r>
        <w:rPr>
          <w:rFonts w:ascii="Times New Roman" w:eastAsia="Times New Roman" w:hAnsi="Times New Roman" w:cs="Times New Roman"/>
          <w:i/>
          <w:iCs/>
          <w:sz w:val="20"/>
          <w:szCs w:val="20"/>
        </w:rPr>
        <w:t>Pew Research Center</w:t>
      </w:r>
      <w:r>
        <w:rPr>
          <w:rFonts w:ascii="Times New Roman" w:eastAsia="Times New Roman" w:hAnsi="Times New Roman" w:cs="Times New Roman"/>
          <w:sz w:val="20"/>
          <w:szCs w:val="20"/>
        </w:rPr>
        <w:t xml:space="preserve">, September 12, 2024, </w:t>
      </w:r>
      <w:hyperlink r:id="rId1">
        <w:r>
          <w:rPr>
            <w:rFonts w:ascii="Times New Roman" w:eastAsia="Times New Roman" w:hAnsi="Times New Roman" w:cs="Times New Roman"/>
            <w:color w:val="1155CC"/>
            <w:sz w:val="20"/>
            <w:szCs w:val="20"/>
            <w:u w:val="single"/>
          </w:rPr>
          <w:t>https://www.pewresearch.org/short-reads/2024/09/12/who-is-hispanic/</w:t>
        </w:r>
      </w:hyperlink>
      <w:r>
        <w:rPr>
          <w:rFonts w:ascii="Times New Roman" w:eastAsia="Times New Roman" w:hAnsi="Times New Roman" w:cs="Times New Roman"/>
          <w:sz w:val="20"/>
          <w:szCs w:val="20"/>
        </w:rPr>
        <w:t>.</w:t>
      </w:r>
    </w:p>
  </w:footnote>
  <w:footnote w:id="2">
    <w:p w14:paraId="0000009B"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Jessica Peña, Magdaliz Álvarez Figueroa, Merarys Rios-Vargas, and Rachel Marks, “One in Every Four Children in the United States Were of Hispanic Origin in 2020,” </w:t>
      </w:r>
      <w:r>
        <w:rPr>
          <w:rFonts w:ascii="Times New Roman" w:eastAsia="Times New Roman" w:hAnsi="Times New Roman" w:cs="Times New Roman"/>
          <w:i/>
          <w:iCs/>
          <w:sz w:val="20"/>
          <w:szCs w:val="20"/>
        </w:rPr>
        <w:t>US Census Bureau</w:t>
      </w:r>
      <w:r>
        <w:rPr>
          <w:rFonts w:ascii="Times New Roman" w:eastAsia="Times New Roman" w:hAnsi="Times New Roman" w:cs="Times New Roman"/>
          <w:sz w:val="20"/>
          <w:szCs w:val="20"/>
        </w:rPr>
        <w:t>, May 25, 2023,</w:t>
      </w:r>
    </w:p>
    <w:p w14:paraId="0000009C" w14:textId="77777777" w:rsidR="00363360" w:rsidRDefault="00000000">
      <w:pPr>
        <w:spacing w:line="240" w:lineRule="auto"/>
        <w:rPr>
          <w:rFonts w:ascii="Times New Roman" w:eastAsia="Times New Roman" w:hAnsi="Times New Roman" w:cs="Times New Roman"/>
          <w:color w:val="1155CC"/>
          <w:sz w:val="20"/>
          <w:szCs w:val="20"/>
        </w:rPr>
      </w:pPr>
      <w:hyperlink r:id="rId2">
        <w:r>
          <w:rPr>
            <w:rFonts w:ascii="Times New Roman" w:eastAsia="Times New Roman" w:hAnsi="Times New Roman" w:cs="Times New Roman"/>
            <w:color w:val="1155CC"/>
            <w:sz w:val="20"/>
            <w:szCs w:val="20"/>
            <w:u w:val="single"/>
          </w:rPr>
          <w:t>https://www.census.gov/library/stories/2023/05/hispanic-population-younger-but-aging-faster.html</w:t>
        </w:r>
      </w:hyperlink>
      <w:r>
        <w:rPr>
          <w:rFonts w:ascii="Times New Roman" w:eastAsia="Times New Roman" w:hAnsi="Times New Roman" w:cs="Times New Roman"/>
          <w:color w:val="1155CC"/>
          <w:sz w:val="20"/>
          <w:szCs w:val="20"/>
        </w:rPr>
        <w:t>.</w:t>
      </w:r>
    </w:p>
  </w:footnote>
  <w:footnote w:id="3">
    <w:p w14:paraId="0000009D"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“Young Adult Population Ages 18 to 24 By Race and Ethnicity in the U.S.,” </w:t>
      </w:r>
      <w:r>
        <w:rPr>
          <w:rFonts w:ascii="Times New Roman" w:eastAsia="Times New Roman" w:hAnsi="Times New Roman" w:cs="Times New Roman"/>
          <w:i/>
          <w:iCs/>
          <w:sz w:val="20"/>
          <w:szCs w:val="20"/>
        </w:rPr>
        <w:t>The Annie E. Casey Foundation</w:t>
      </w:r>
      <w:r>
        <w:rPr>
          <w:rFonts w:ascii="Times New Roman" w:eastAsia="Times New Roman" w:hAnsi="Times New Roman" w:cs="Times New Roman"/>
          <w:sz w:val="20"/>
          <w:szCs w:val="20"/>
        </w:rPr>
        <w:t xml:space="preserve">, July 2026,  </w:t>
      </w:r>
      <w:hyperlink r:id="rId3" w:anchor="detailed/1/any/false/575,1096,2545,1095,2048,574,1729,37,871,870/12,8367,69,67,70,71,66,7983/21595,21596">
        <w:r>
          <w:rPr>
            <w:rFonts w:ascii="Times New Roman" w:eastAsia="Times New Roman" w:hAnsi="Times New Roman" w:cs="Times New Roman"/>
            <w:color w:val="1155CC"/>
            <w:sz w:val="20"/>
            <w:szCs w:val="20"/>
            <w:u w:val="single"/>
          </w:rPr>
          <w:t>https://datacenter.aecf.org/data/tables/11207-young-adult-population-ages-18-to-24-by-race-and-ethnicity#detailed/1/any/false/575,1096,2545,1095,2048,574,1729,37,871,870/12,8367,69,67,70,71,66,7983/21595,21596</w:t>
        </w:r>
      </w:hyperlink>
      <w:r>
        <w:rPr>
          <w:rFonts w:ascii="Times New Roman" w:eastAsia="Times New Roman" w:hAnsi="Times New Roman" w:cs="Times New Roman"/>
          <w:sz w:val="20"/>
          <w:szCs w:val="20"/>
        </w:rPr>
        <w:t>.</w:t>
      </w:r>
    </w:p>
  </w:footnote>
  <w:footnote w:id="4">
    <w:p w14:paraId="0000007A"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Luis Noé Bustamante, Lauren Mora, and Mark Hugo Lopez, “</w:t>
      </w:r>
      <w:r>
        <w:rPr>
          <w:rFonts w:ascii="Times New Roman" w:eastAsia="Times New Roman" w:hAnsi="Times New Roman" w:cs="Times New Roman"/>
          <w:color w:val="2A2A2A"/>
          <w:sz w:val="20"/>
          <w:szCs w:val="20"/>
        </w:rPr>
        <w:t xml:space="preserve">About One-in-Four U.S. Hispanics Have Heard of Latinx, but Just 3% Use It: Young Hispanic women among the most likely to use the term,” </w:t>
      </w:r>
      <w:r>
        <w:rPr>
          <w:rFonts w:ascii="Times New Roman" w:eastAsia="Times New Roman" w:hAnsi="Times New Roman" w:cs="Times New Roman"/>
          <w:i/>
          <w:iCs/>
          <w:color w:val="2A2A2A"/>
          <w:sz w:val="20"/>
          <w:szCs w:val="20"/>
        </w:rPr>
        <w:t>Pew Research Center</w:t>
      </w:r>
      <w:r>
        <w:rPr>
          <w:rFonts w:ascii="Times New Roman" w:eastAsia="Times New Roman" w:hAnsi="Times New Roman" w:cs="Times New Roman"/>
          <w:color w:val="2A2A2A"/>
          <w:sz w:val="20"/>
          <w:szCs w:val="20"/>
        </w:rPr>
        <w:t xml:space="preserve">, August 11, 2020, </w:t>
      </w:r>
      <w:hyperlink r:id="rId4">
        <w:r>
          <w:rPr>
            <w:rFonts w:ascii="Times New Roman" w:eastAsia="Times New Roman" w:hAnsi="Times New Roman" w:cs="Times New Roman"/>
            <w:color w:val="1155CC"/>
            <w:sz w:val="20"/>
            <w:szCs w:val="20"/>
            <w:u w:val="single"/>
          </w:rPr>
          <w:t>https://www.pewresearch.org/hispanic/2020/08/11/about-one-in-four-u-s-hispanics-have-heard-of-latinx-but-just-3-use-it/</w:t>
        </w:r>
      </w:hyperlink>
      <w:r>
        <w:rPr>
          <w:rFonts w:ascii="Times New Roman" w:eastAsia="Times New Roman" w:hAnsi="Times New Roman" w:cs="Times New Roman"/>
          <w:color w:val="2A2A2A"/>
          <w:sz w:val="20"/>
          <w:szCs w:val="20"/>
        </w:rPr>
        <w:t>.</w:t>
      </w:r>
    </w:p>
  </w:footnote>
  <w:footnote w:id="5">
    <w:p w14:paraId="0000007B"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Mark Hugo Lopez, “Hispanic Identity,” </w:t>
      </w:r>
      <w:r>
        <w:rPr>
          <w:rFonts w:ascii="Times New Roman" w:eastAsia="Times New Roman" w:hAnsi="Times New Roman" w:cs="Times New Roman"/>
          <w:i/>
          <w:iCs/>
          <w:sz w:val="20"/>
          <w:szCs w:val="20"/>
        </w:rPr>
        <w:t>Pew Research Center</w:t>
      </w:r>
      <w:r>
        <w:rPr>
          <w:rFonts w:ascii="Times New Roman" w:eastAsia="Times New Roman" w:hAnsi="Times New Roman" w:cs="Times New Roman"/>
          <w:sz w:val="20"/>
          <w:szCs w:val="20"/>
        </w:rPr>
        <w:t xml:space="preserve">, October 22, 2013, </w:t>
      </w:r>
      <w:hyperlink r:id="rId5">
        <w:r>
          <w:rPr>
            <w:rFonts w:ascii="Times New Roman" w:eastAsia="Times New Roman" w:hAnsi="Times New Roman" w:cs="Times New Roman"/>
            <w:color w:val="1155CC"/>
            <w:sz w:val="20"/>
            <w:szCs w:val="20"/>
            <w:u w:val="single"/>
          </w:rPr>
          <w:t>https://www.pewresearch.org/hispanic/2013/10/22/3-hispanic-identity/</w:t>
        </w:r>
      </w:hyperlink>
      <w:r>
        <w:rPr>
          <w:rFonts w:ascii="Times New Roman" w:eastAsia="Times New Roman" w:hAnsi="Times New Roman" w:cs="Times New Roman"/>
          <w:sz w:val="20"/>
          <w:szCs w:val="20"/>
        </w:rPr>
        <w:t>.</w:t>
      </w:r>
    </w:p>
  </w:footnote>
  <w:footnote w:id="6">
    <w:p w14:paraId="0000007C"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Bustamante, Mora, and Lopez, “</w:t>
      </w:r>
      <w:r>
        <w:rPr>
          <w:rFonts w:ascii="Times New Roman" w:eastAsia="Times New Roman" w:hAnsi="Times New Roman" w:cs="Times New Roman"/>
          <w:color w:val="2A2A2A"/>
          <w:sz w:val="20"/>
          <w:szCs w:val="20"/>
        </w:rPr>
        <w:t>About One-in-Four U.S. Hispanics Have Heard of Latinx.”</w:t>
      </w:r>
    </w:p>
  </w:footnote>
  <w:footnote w:id="7">
    <w:p w14:paraId="0000007D"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Bustamante, Mora, and Lopez, “</w:t>
      </w:r>
      <w:r>
        <w:rPr>
          <w:rFonts w:ascii="Times New Roman" w:eastAsia="Times New Roman" w:hAnsi="Times New Roman" w:cs="Times New Roman"/>
          <w:color w:val="2A2A2A"/>
          <w:sz w:val="20"/>
          <w:szCs w:val="20"/>
        </w:rPr>
        <w:t xml:space="preserve">About One-in-Four U.S. Hispanics Have Heard of Latinx.” See also, Marlon Bishop and Camilo Vargas, “The Invention of Hispanics,” </w:t>
      </w:r>
      <w:r>
        <w:rPr>
          <w:rFonts w:ascii="Times New Roman" w:eastAsia="Times New Roman" w:hAnsi="Times New Roman" w:cs="Times New Roman"/>
          <w:i/>
          <w:iCs/>
          <w:color w:val="2A2A2A"/>
          <w:sz w:val="20"/>
          <w:szCs w:val="20"/>
        </w:rPr>
        <w:t>Latino USA</w:t>
      </w:r>
      <w:r>
        <w:rPr>
          <w:rFonts w:ascii="Times New Roman" w:eastAsia="Times New Roman" w:hAnsi="Times New Roman" w:cs="Times New Roman"/>
          <w:color w:val="2A2A2A"/>
          <w:sz w:val="20"/>
          <w:szCs w:val="20"/>
        </w:rPr>
        <w:t xml:space="preserve">, May 2, 2014 </w:t>
      </w:r>
      <w:hyperlink r:id="rId6">
        <w:r>
          <w:rPr>
            <w:rFonts w:ascii="Times New Roman" w:eastAsia="Times New Roman" w:hAnsi="Times New Roman" w:cs="Times New Roman"/>
            <w:color w:val="1155CC"/>
            <w:sz w:val="20"/>
            <w:szCs w:val="20"/>
            <w:u w:val="single"/>
          </w:rPr>
          <w:t>https://www.latinousa.org/2014/05/02/invention-hispanics/</w:t>
        </w:r>
      </w:hyperlink>
      <w:r>
        <w:rPr>
          <w:sz w:val="20"/>
          <w:szCs w:val="20"/>
        </w:rPr>
        <w:t xml:space="preserve">. </w:t>
      </w:r>
    </w:p>
  </w:footnote>
  <w:footnote w:id="8">
    <w:p w14:paraId="0000007F"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 xml:space="preserve">Linda Martín Alcoff, “Latino vs. Hispanic: The Politics of Ethnic Names,” </w:t>
      </w:r>
      <w:r>
        <w:rPr>
          <w:rFonts w:ascii="Times New Roman" w:eastAsia="Times New Roman" w:hAnsi="Times New Roman" w:cs="Times New Roman"/>
          <w:i/>
          <w:iCs/>
          <w:color w:val="2A2A2A"/>
          <w:sz w:val="20"/>
          <w:szCs w:val="20"/>
        </w:rPr>
        <w:t>Philosophy &amp; Social Criticism</w:t>
      </w:r>
      <w:r>
        <w:rPr>
          <w:rFonts w:ascii="Times New Roman" w:eastAsia="Times New Roman" w:hAnsi="Times New Roman" w:cs="Times New Roman"/>
          <w:color w:val="2A2A2A"/>
          <w:sz w:val="20"/>
          <w:szCs w:val="20"/>
        </w:rPr>
        <w:t xml:space="preserve"> 31, no. 4 (2005): 397.</w:t>
      </w:r>
    </w:p>
  </w:footnote>
  <w:footnote w:id="9">
    <w:p w14:paraId="00000080"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Alcoff, “Latino vs. Hispanic,” 397–398.</w:t>
      </w:r>
    </w:p>
  </w:footnote>
  <w:footnote w:id="10">
    <w:p w14:paraId="00000081"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Alcoff, “Latino vs. Hispanic,” 398.</w:t>
      </w:r>
    </w:p>
  </w:footnote>
  <w:footnote w:id="11">
    <w:p w14:paraId="00000082"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Alcoff, “Latino vs. Hispanic,” 398.</w:t>
      </w:r>
    </w:p>
  </w:footnote>
  <w:footnote w:id="12">
    <w:p w14:paraId="00000083"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 xml:space="preserve">Alcoff, “Latino vs. Hispanic,” 399. </w:t>
      </w:r>
    </w:p>
  </w:footnote>
  <w:footnote w:id="13">
    <w:p w14:paraId="00000084"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 xml:space="preserve">Alcoff, “Latino vs. Hispanic,” 399. </w:t>
      </w:r>
    </w:p>
  </w:footnote>
  <w:footnote w:id="14">
    <w:p w14:paraId="00000085"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color w:val="2A2A2A"/>
          <w:sz w:val="20"/>
          <w:szCs w:val="20"/>
        </w:rPr>
        <w:t xml:space="preserve">Alcoff, “Latino vs. Hispanic,” 400. </w:t>
      </w:r>
    </w:p>
  </w:footnote>
  <w:footnote w:id="15">
    <w:p w14:paraId="00000086"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Janet Soskice, </w:t>
      </w:r>
      <w:r>
        <w:rPr>
          <w:rFonts w:ascii="Times New Roman" w:eastAsia="Times New Roman" w:hAnsi="Times New Roman" w:cs="Times New Roman"/>
          <w:i/>
          <w:iCs/>
          <w:sz w:val="20"/>
          <w:szCs w:val="20"/>
        </w:rPr>
        <w:t xml:space="preserve">Naming God: </w:t>
      </w:r>
      <w:r>
        <w:rPr>
          <w:rFonts w:ascii="Times New Roman" w:eastAsia="Times New Roman" w:hAnsi="Times New Roman" w:cs="Times New Roman"/>
          <w:i/>
          <w:iCs/>
          <w:color w:val="333333"/>
          <w:sz w:val="20"/>
          <w:szCs w:val="20"/>
          <w:highlight w:val="white"/>
        </w:rPr>
        <w:t xml:space="preserve">Addressing the Divine in Philosophy, Theology and Scripture </w:t>
      </w:r>
      <w:r>
        <w:rPr>
          <w:rFonts w:ascii="Times New Roman" w:eastAsia="Times New Roman" w:hAnsi="Times New Roman" w:cs="Times New Roman"/>
          <w:color w:val="333333"/>
          <w:sz w:val="20"/>
          <w:szCs w:val="20"/>
          <w:highlight w:val="white"/>
        </w:rPr>
        <w:t>(Cambridge University Press, 2023), 199.</w:t>
      </w:r>
    </w:p>
  </w:footnote>
  <w:footnote w:id="16">
    <w:p w14:paraId="00000087"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Soskice, </w:t>
      </w:r>
      <w:r>
        <w:rPr>
          <w:rFonts w:ascii="Times New Roman" w:eastAsia="Times New Roman" w:hAnsi="Times New Roman" w:cs="Times New Roman"/>
          <w:i/>
          <w:iCs/>
          <w:sz w:val="20"/>
          <w:szCs w:val="20"/>
        </w:rPr>
        <w:t>Naming God</w:t>
      </w:r>
      <w:r>
        <w:rPr>
          <w:rFonts w:ascii="Times New Roman" w:eastAsia="Times New Roman" w:hAnsi="Times New Roman" w:cs="Times New Roman"/>
          <w:sz w:val="20"/>
          <w:szCs w:val="20"/>
        </w:rPr>
        <w:t>, 215.</w:t>
      </w:r>
    </w:p>
  </w:footnote>
  <w:footnote w:id="17">
    <w:p w14:paraId="00000088"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Soskice, </w:t>
      </w:r>
      <w:r>
        <w:rPr>
          <w:rFonts w:ascii="Times New Roman" w:eastAsia="Times New Roman" w:hAnsi="Times New Roman" w:cs="Times New Roman"/>
          <w:i/>
          <w:iCs/>
          <w:sz w:val="20"/>
          <w:szCs w:val="20"/>
        </w:rPr>
        <w:t>Naming God</w:t>
      </w:r>
      <w:r>
        <w:rPr>
          <w:rFonts w:ascii="Times New Roman" w:eastAsia="Times New Roman" w:hAnsi="Times New Roman" w:cs="Times New Roman"/>
          <w:sz w:val="20"/>
          <w:szCs w:val="20"/>
        </w:rPr>
        <w:t>, 227.</w:t>
      </w:r>
    </w:p>
  </w:footnote>
  <w:footnote w:id="18">
    <w:p w14:paraId="00000089"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Hannah Malcolm, “</w:t>
      </w:r>
      <w:r>
        <w:rPr>
          <w:rFonts w:ascii="Times New Roman" w:eastAsia="Times New Roman" w:hAnsi="Times New Roman" w:cs="Times New Roman"/>
          <w:color w:val="141413"/>
          <w:sz w:val="20"/>
          <w:szCs w:val="20"/>
        </w:rPr>
        <w:t xml:space="preserve">The Ethics of Local Belonging: A Theology of Naming Place,” </w:t>
      </w:r>
      <w:r>
        <w:rPr>
          <w:rFonts w:ascii="Times New Roman" w:eastAsia="Times New Roman" w:hAnsi="Times New Roman" w:cs="Times New Roman"/>
          <w:i/>
          <w:iCs/>
          <w:color w:val="141413"/>
          <w:sz w:val="20"/>
          <w:szCs w:val="20"/>
        </w:rPr>
        <w:t>Studies in Christian Ethics</w:t>
      </w:r>
      <w:r>
        <w:rPr>
          <w:rFonts w:ascii="Times New Roman" w:eastAsia="Times New Roman" w:hAnsi="Times New Roman" w:cs="Times New Roman"/>
          <w:color w:val="141413"/>
          <w:sz w:val="20"/>
          <w:szCs w:val="20"/>
        </w:rPr>
        <w:t xml:space="preserve"> 37, no. 4: 833.</w:t>
      </w:r>
    </w:p>
  </w:footnote>
  <w:footnote w:id="19">
    <w:p w14:paraId="0000008A"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Malcolm, “The Ethics of Local Belonging,” 836. Interestingly, the first human speech that occurs in Genesis is the naming of animals. </w:t>
      </w:r>
      <w:r>
        <w:rPr>
          <w:sz w:val="20"/>
          <w:szCs w:val="20"/>
        </w:rPr>
        <w:t xml:space="preserve"> </w:t>
      </w:r>
    </w:p>
  </w:footnote>
  <w:footnote w:id="20">
    <w:p w14:paraId="0000008B"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Malcolm, “The Ethics of Local Belonging,” 836.</w:t>
      </w:r>
    </w:p>
  </w:footnote>
  <w:footnote w:id="21">
    <w:p w14:paraId="0000008C"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Malcolm, “The Ethics of Local Belonging,” 839.</w:t>
      </w:r>
    </w:p>
  </w:footnote>
  <w:footnote w:id="22">
    <w:p w14:paraId="0000008D"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Malcolm, “The Ethics of Local Belonging,” 839. </w:t>
      </w:r>
    </w:p>
  </w:footnote>
  <w:footnote w:id="23">
    <w:p w14:paraId="0000008E"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Malcolm, “The Ethics of Local Belonging,” 839. </w:t>
      </w:r>
    </w:p>
  </w:footnote>
  <w:footnote w:id="24">
    <w:p w14:paraId="0000008F"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Malcolm, “The Ethics of Local Belonging,” 839.</w:t>
      </w:r>
    </w:p>
  </w:footnote>
  <w:footnote w:id="25">
    <w:p w14:paraId="00000090"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Malcolm, “The Ethics of Local Belonging,” 840.</w:t>
      </w:r>
    </w:p>
  </w:footnote>
  <w:footnote w:id="26">
    <w:p w14:paraId="0000009A"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One of the most thorough overviews of nomenclature comes in Fernando Segovia’s introductory chapter in </w:t>
      </w:r>
      <w:r>
        <w:rPr>
          <w:rFonts w:ascii="Times New Roman" w:eastAsia="Times New Roman" w:hAnsi="Times New Roman" w:cs="Times New Roman"/>
          <w:i/>
          <w:iCs/>
          <w:sz w:val="20"/>
          <w:szCs w:val="20"/>
        </w:rPr>
        <w:t>Hispanic/Latino Theology: Challenge and Promise</w:t>
      </w:r>
      <w:r>
        <w:rPr>
          <w:rFonts w:ascii="Times New Roman" w:eastAsia="Times New Roman" w:hAnsi="Times New Roman" w:cs="Times New Roman"/>
          <w:sz w:val="20"/>
          <w:szCs w:val="20"/>
        </w:rPr>
        <w:t xml:space="preserve">. See Fernando F. Segovia, “Aliens in the Promised Land: The Manifest Destiny of U.S. Hispanic American Theology,” in </w:t>
      </w:r>
      <w:r>
        <w:rPr>
          <w:rFonts w:ascii="Times New Roman" w:eastAsia="Times New Roman" w:hAnsi="Times New Roman" w:cs="Times New Roman"/>
          <w:i/>
          <w:iCs/>
          <w:sz w:val="20"/>
          <w:szCs w:val="20"/>
        </w:rPr>
        <w:t>Hispanic/Latino Theology: Challenge and Promise</w:t>
      </w:r>
      <w:r>
        <w:rPr>
          <w:rFonts w:ascii="Times New Roman" w:eastAsia="Times New Roman" w:hAnsi="Times New Roman" w:cs="Times New Roman"/>
          <w:sz w:val="20"/>
          <w:szCs w:val="20"/>
        </w:rPr>
        <w:t>, eds. Ada Maria Isasi-Díaz and Fernando F. Segovia (Fortress Press, 1996), 15–42.</w:t>
      </w:r>
    </w:p>
  </w:footnote>
  <w:footnote w:id="27">
    <w:p w14:paraId="00000092"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Virgilio Elizondo, </w:t>
      </w:r>
      <w:r>
        <w:rPr>
          <w:rFonts w:ascii="Times New Roman" w:eastAsia="Times New Roman" w:hAnsi="Times New Roman" w:cs="Times New Roman"/>
          <w:i/>
          <w:iCs/>
          <w:sz w:val="20"/>
          <w:szCs w:val="20"/>
        </w:rPr>
        <w:t>Galilean Journey: The Mexican-American Promise</w:t>
      </w:r>
      <w:r>
        <w:rPr>
          <w:rFonts w:ascii="Times New Roman" w:eastAsia="Times New Roman" w:hAnsi="Times New Roman" w:cs="Times New Roman"/>
          <w:sz w:val="20"/>
          <w:szCs w:val="20"/>
        </w:rPr>
        <w:t xml:space="preserve"> (Orbis Books, 2000), 16.</w:t>
      </w:r>
    </w:p>
  </w:footnote>
  <w:footnote w:id="28">
    <w:p w14:paraId="00000091"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Elizondo, </w:t>
      </w:r>
      <w:r>
        <w:rPr>
          <w:rFonts w:ascii="Times New Roman" w:eastAsia="Times New Roman" w:hAnsi="Times New Roman" w:cs="Times New Roman"/>
          <w:i/>
          <w:iCs/>
          <w:sz w:val="20"/>
          <w:szCs w:val="20"/>
        </w:rPr>
        <w:t>Galilean Journey</w:t>
      </w:r>
      <w:r>
        <w:rPr>
          <w:rFonts w:ascii="Times New Roman" w:eastAsia="Times New Roman" w:hAnsi="Times New Roman" w:cs="Times New Roman"/>
          <w:sz w:val="20"/>
          <w:szCs w:val="20"/>
        </w:rPr>
        <w:t>, 18.</w:t>
      </w:r>
    </w:p>
  </w:footnote>
  <w:footnote w:id="29">
    <w:p w14:paraId="00000093"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Elizondo, </w:t>
      </w:r>
      <w:r>
        <w:rPr>
          <w:rFonts w:ascii="Times New Roman" w:eastAsia="Times New Roman" w:hAnsi="Times New Roman" w:cs="Times New Roman"/>
          <w:i/>
          <w:iCs/>
          <w:sz w:val="20"/>
          <w:szCs w:val="20"/>
        </w:rPr>
        <w:t>Galilean Journey</w:t>
      </w:r>
      <w:r>
        <w:rPr>
          <w:rFonts w:ascii="Times New Roman" w:eastAsia="Times New Roman" w:hAnsi="Times New Roman" w:cs="Times New Roman"/>
          <w:sz w:val="20"/>
          <w:szCs w:val="20"/>
        </w:rPr>
        <w:t xml:space="preserve">, 27. </w:t>
      </w:r>
    </w:p>
  </w:footnote>
  <w:footnote w:id="30">
    <w:p w14:paraId="00000094"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See Nestor Medina, </w:t>
      </w:r>
      <w:r>
        <w:rPr>
          <w:rFonts w:ascii="Times New Roman" w:eastAsia="Times New Roman" w:hAnsi="Times New Roman" w:cs="Times New Roman"/>
          <w:i/>
          <w:iCs/>
          <w:sz w:val="20"/>
          <w:szCs w:val="20"/>
        </w:rPr>
        <w:t>Mestizaje: (re)mapping race, culture, and faith in Latina/o Catholicism</w:t>
      </w:r>
      <w:r>
        <w:rPr>
          <w:rFonts w:ascii="Times New Roman" w:eastAsia="Times New Roman" w:hAnsi="Times New Roman" w:cs="Times New Roman"/>
          <w:sz w:val="20"/>
          <w:szCs w:val="20"/>
        </w:rPr>
        <w:t xml:space="preserve"> (Orbis Books, 2009).</w:t>
      </w:r>
    </w:p>
  </w:footnote>
  <w:footnote w:id="31">
    <w:p w14:paraId="00000095"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Alcoff, “</w:t>
      </w:r>
      <w:r>
        <w:rPr>
          <w:rFonts w:ascii="Times New Roman" w:eastAsia="Times New Roman" w:hAnsi="Times New Roman" w:cs="Times New Roman"/>
          <w:color w:val="2A2A2A"/>
          <w:sz w:val="20"/>
          <w:szCs w:val="20"/>
        </w:rPr>
        <w:t>Latino vs. Hispanic,” 400.</w:t>
      </w:r>
    </w:p>
  </w:footnote>
  <w:footnote w:id="32">
    <w:p w14:paraId="00000096"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For a full account of his phenomenological structures of belonging, see James Greenaway, </w:t>
      </w:r>
      <w:r>
        <w:rPr>
          <w:rFonts w:ascii="Times New Roman" w:eastAsia="Times New Roman" w:hAnsi="Times New Roman" w:cs="Times New Roman"/>
          <w:i/>
          <w:iCs/>
          <w:sz w:val="20"/>
          <w:szCs w:val="20"/>
        </w:rPr>
        <w:t>A Philosophy of Belonging: Persons, Politics, Cosmos</w:t>
      </w:r>
      <w:r>
        <w:rPr>
          <w:rFonts w:ascii="Times New Roman" w:eastAsia="Times New Roman" w:hAnsi="Times New Roman" w:cs="Times New Roman"/>
          <w:sz w:val="20"/>
          <w:szCs w:val="20"/>
        </w:rPr>
        <w:t xml:space="preserve"> (University of Notre Dame Press, 2023).</w:t>
      </w:r>
    </w:p>
  </w:footnote>
  <w:footnote w:id="33">
    <w:p w14:paraId="00000097"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Alcoff, “</w:t>
      </w:r>
      <w:r>
        <w:rPr>
          <w:rFonts w:ascii="Times New Roman" w:eastAsia="Times New Roman" w:hAnsi="Times New Roman" w:cs="Times New Roman"/>
          <w:color w:val="2A2A2A"/>
          <w:sz w:val="20"/>
          <w:szCs w:val="20"/>
        </w:rPr>
        <w:t>Latino vs. Hispanic,” 404.</w:t>
      </w:r>
    </w:p>
  </w:footnote>
  <w:footnote w:id="34">
    <w:p w14:paraId="00000099"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To do the opposite would be to make the other our object. For example, the stripping of names of prisoners has successfully stripped them of their subjecthood. </w:t>
      </w:r>
    </w:p>
  </w:footnote>
  <w:footnote w:id="35">
    <w:p w14:paraId="00000098"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Malcolm, “The Ethics of Local Belonging,” 842.</w:t>
      </w:r>
    </w:p>
  </w:footnote>
  <w:footnote w:id="36">
    <w:p w14:paraId="000000A0"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See Theresa O’Keefe, </w:t>
      </w:r>
      <w:r>
        <w:rPr>
          <w:rFonts w:ascii="Times New Roman" w:eastAsia="Times New Roman" w:hAnsi="Times New Roman" w:cs="Times New Roman"/>
          <w:i/>
          <w:iCs/>
          <w:sz w:val="20"/>
          <w:szCs w:val="20"/>
        </w:rPr>
        <w:t>Navigating Toward Adulthood: A Theology of Ministry with Adolescents</w:t>
      </w:r>
      <w:r>
        <w:rPr>
          <w:rFonts w:ascii="Times New Roman" w:eastAsia="Times New Roman" w:hAnsi="Times New Roman" w:cs="Times New Roman"/>
          <w:sz w:val="20"/>
          <w:szCs w:val="20"/>
        </w:rPr>
        <w:t xml:space="preserve"> (Paulist Press, 2018), 8–10.</w:t>
      </w:r>
    </w:p>
  </w:footnote>
  <w:footnote w:id="37">
    <w:p w14:paraId="0000009E"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Sophia, Rodriguez, Melissa Ortiz, and Priscilla Alfaro, “School Belonging Is Not One Size Fits All: A Call for Structural and Racialized Perspectives on School and Social Belonging for Latino Immigrant Youth,” </w:t>
      </w:r>
      <w:r>
        <w:rPr>
          <w:rFonts w:ascii="Times New Roman" w:eastAsia="Times New Roman" w:hAnsi="Times New Roman" w:cs="Times New Roman"/>
          <w:i/>
          <w:iCs/>
          <w:sz w:val="20"/>
          <w:szCs w:val="20"/>
        </w:rPr>
        <w:t>Educational Psychology Review</w:t>
      </w:r>
      <w:r>
        <w:rPr>
          <w:rFonts w:ascii="Times New Roman" w:eastAsia="Times New Roman" w:hAnsi="Times New Roman" w:cs="Times New Roman"/>
          <w:sz w:val="20"/>
          <w:szCs w:val="20"/>
        </w:rPr>
        <w:t xml:space="preserve"> 3, no. 83 (August 2025).</w:t>
      </w:r>
    </w:p>
  </w:footnote>
  <w:footnote w:id="38">
    <w:p w14:paraId="0000009F" w14:textId="77777777" w:rsidR="00363360"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“How Student Belonging Shapes School Culture and Climate,” </w:t>
      </w:r>
      <w:r>
        <w:rPr>
          <w:rFonts w:ascii="Times New Roman" w:eastAsia="Times New Roman" w:hAnsi="Times New Roman" w:cs="Times New Roman"/>
          <w:i/>
          <w:iCs/>
          <w:sz w:val="20"/>
          <w:szCs w:val="20"/>
        </w:rPr>
        <w:t>Springtide Research Institute</w:t>
      </w:r>
      <w:r>
        <w:rPr>
          <w:rFonts w:ascii="Times New Roman" w:eastAsia="Times New Roman" w:hAnsi="Times New Roman" w:cs="Times New Roman"/>
          <w:sz w:val="20"/>
          <w:szCs w:val="20"/>
        </w:rPr>
        <w:t xml:space="preserve">, </w:t>
      </w:r>
      <w:hyperlink r:id="rId7">
        <w:r>
          <w:rPr>
            <w:rFonts w:ascii="Times New Roman" w:eastAsia="Times New Roman" w:hAnsi="Times New Roman" w:cs="Times New Roman"/>
            <w:color w:val="1155CC"/>
            <w:sz w:val="20"/>
            <w:szCs w:val="20"/>
            <w:u w:val="single"/>
          </w:rPr>
          <w:t>https://link.springer.com/article/10.1007/s10648-025-10056-w</w:t>
        </w:r>
      </w:hyperlink>
      <w:r>
        <w:rPr>
          <w:rFonts w:ascii="Times New Roman" w:eastAsia="Times New Roman" w:hAnsi="Times New Roman" w:cs="Times New Roman"/>
          <w:sz w:val="20"/>
          <w:szCs w:val="20"/>
        </w:rPr>
        <w:t>.</w:t>
      </w:r>
    </w:p>
  </w:footnote>
  <w:footnote w:id="39">
    <w:p w14:paraId="000000A1" w14:textId="77777777" w:rsidR="00363360"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For a recent report on the direct impact on schools, see Brenda Álvarez, “The Trauma Immigration Raids Leave in Classrooms,” </w:t>
      </w:r>
      <w:r>
        <w:rPr>
          <w:rFonts w:ascii="Times New Roman" w:eastAsia="Times New Roman" w:hAnsi="Times New Roman" w:cs="Times New Roman"/>
          <w:i/>
          <w:iCs/>
          <w:sz w:val="20"/>
          <w:szCs w:val="20"/>
        </w:rPr>
        <w:t>National Education Association</w:t>
      </w:r>
      <w:r>
        <w:rPr>
          <w:rFonts w:ascii="Times New Roman" w:eastAsia="Times New Roman" w:hAnsi="Times New Roman" w:cs="Times New Roman"/>
          <w:sz w:val="20"/>
          <w:szCs w:val="20"/>
        </w:rPr>
        <w:t xml:space="preserve">, September 10, 2025, </w:t>
      </w:r>
      <w:hyperlink r:id="rId8">
        <w:r>
          <w:rPr>
            <w:rFonts w:ascii="Times New Roman" w:eastAsia="Times New Roman" w:hAnsi="Times New Roman" w:cs="Times New Roman"/>
            <w:color w:val="1155CC"/>
            <w:sz w:val="20"/>
            <w:szCs w:val="20"/>
            <w:u w:val="single"/>
          </w:rPr>
          <w:t>https://www.nea.org/nea-today/all-news-articles/trauma-immigration-raids-leave-classrooms</w:t>
        </w:r>
      </w:hyperlink>
      <w:r>
        <w:rPr>
          <w:rFonts w:ascii="Times New Roman" w:eastAsia="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574AE3" w14:textId="77777777" w:rsidR="007F5A0B" w:rsidRDefault="007F5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9" w14:textId="73F448BC" w:rsidR="00363360" w:rsidRDefault="00000000">
    <w:pPr>
      <w:jc w:val="right"/>
      <w:rPr>
        <w:rFonts w:ascii="Times New Roman" w:eastAsia="Times New Roman" w:hAnsi="Times New Roman" w:cs="Times New Roman"/>
      </w:rPr>
    </w:pPr>
    <w:r>
      <w:rPr>
        <w:rFonts w:ascii="Times New Roman" w:eastAsia="Times New Roman" w:hAnsi="Times New Roman" w:cs="Times New Roman"/>
      </w:rPr>
      <w:t xml:space="preserve">Larios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7F5A0B">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8" w14:textId="77777777" w:rsidR="00363360" w:rsidRDefault="00363360"/>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360"/>
    <w:rsid w:val="000332C9"/>
    <w:rsid w:val="00363360"/>
    <w:rsid w:val="007337ED"/>
    <w:rsid w:val="007F5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A3C9"/>
  <w15:docId w15:val="{85388388-F442-104C-B03E-CC173DFF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F5A0B"/>
    <w:pPr>
      <w:tabs>
        <w:tab w:val="center" w:pos="4680"/>
        <w:tab w:val="right" w:pos="9360"/>
      </w:tabs>
      <w:spacing w:line="240" w:lineRule="auto"/>
    </w:pPr>
  </w:style>
  <w:style w:type="character" w:customStyle="1" w:styleId="HeaderChar">
    <w:name w:val="Header Char"/>
    <w:basedOn w:val="DefaultParagraphFont"/>
    <w:link w:val="Header"/>
    <w:uiPriority w:val="99"/>
    <w:rsid w:val="007F5A0B"/>
  </w:style>
  <w:style w:type="paragraph" w:styleId="Footer">
    <w:name w:val="footer"/>
    <w:basedOn w:val="Normal"/>
    <w:link w:val="FooterChar"/>
    <w:uiPriority w:val="99"/>
    <w:unhideWhenUsed/>
    <w:rsid w:val="007F5A0B"/>
    <w:pPr>
      <w:tabs>
        <w:tab w:val="center" w:pos="4680"/>
        <w:tab w:val="right" w:pos="9360"/>
      </w:tabs>
      <w:spacing w:line="240" w:lineRule="auto"/>
    </w:pPr>
  </w:style>
  <w:style w:type="character" w:customStyle="1" w:styleId="FooterChar">
    <w:name w:val="Footer Char"/>
    <w:basedOn w:val="DefaultParagraphFont"/>
    <w:link w:val="Footer"/>
    <w:uiPriority w:val="99"/>
    <w:rsid w:val="007F5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atinousa.org/2014/05/02/invention-hispanics/" TargetMode="External"/><Relationship Id="rId13" Type="http://schemas.openxmlformats.org/officeDocument/2006/relationships/hyperlink" Target="https://link.springer.com/article/10.1007/s10648-025-10056-w" TargetMode="External"/><Relationship Id="rId18" Type="http://schemas.openxmlformats.org/officeDocument/2006/relationships/hyperlink" Target="https://datacenter.aecf.org/data/tables/11207-young-adult-population-ages-18-to-24-by-race-and-ethnicity"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www.nea.org/nea-today/all-news-articles/trauma-immigration-raids-leave-classrooms" TargetMode="External"/><Relationship Id="rId12" Type="http://schemas.openxmlformats.org/officeDocument/2006/relationships/hyperlink" Target="https://link.springer.com/article/10.1007/s10648-025-10056-w" TargetMode="External"/><Relationship Id="rId17" Type="http://schemas.openxmlformats.org/officeDocument/2006/relationships/hyperlink" Target="https://datacenter.aecf.org/data/tables/11207-young-adult-population-ages-18-to-24-by-race-and-ethnicity"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census.gov/library/stories/2023/05/hispanic-population-younger-but-aging-faster.html"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nea.org/nea-today/all-news-articles/trauma-immigration-raids-leave-classrooms" TargetMode="External"/><Relationship Id="rId11" Type="http://schemas.openxmlformats.org/officeDocument/2006/relationships/hyperlink" Target="https://www.pewresearch.org/hispanic/2020/08/11/about-one-in-four-u-s-hispanics-have-heard-of-latinx-but-just-3-use-it/"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www.pewresearch.org/hispanic/2013/10/22/3-hispanic-identity/" TargetMode="External"/><Relationship Id="rId23" Type="http://schemas.openxmlformats.org/officeDocument/2006/relationships/header" Target="header3.xml"/><Relationship Id="rId10" Type="http://schemas.openxmlformats.org/officeDocument/2006/relationships/hyperlink" Target="https://www.pewresearch.org/hispanic/2020/08/11/about-one-in-four-u-s-hispanics-have-heard-of-latinx-but-just-3-use-it/"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latinousa.org/2014/05/02/invention-hispanics/" TargetMode="External"/><Relationship Id="rId14" Type="http://schemas.openxmlformats.org/officeDocument/2006/relationships/hyperlink" Target="https://www.pewresearch.org/short-reads/2024/09/12/who-is-hispanic/"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nea.org/nea-today/all-news-articles/trauma-immigration-raids-leave-classrooms" TargetMode="External"/><Relationship Id="rId3" Type="http://schemas.openxmlformats.org/officeDocument/2006/relationships/hyperlink" Target="https://datacenter.aecf.org/data/tables/11207-young-adult-population-ages-18-to-24-by-race-and-ethnicity" TargetMode="External"/><Relationship Id="rId7" Type="http://schemas.openxmlformats.org/officeDocument/2006/relationships/hyperlink" Target="https://link.springer.com/article/10.1007/s10648-025-10056-w" TargetMode="External"/><Relationship Id="rId2" Type="http://schemas.openxmlformats.org/officeDocument/2006/relationships/hyperlink" Target="https://www.census.gov/library/stories/2023/05/hispanic-population-younger-but-aging-faster.html" TargetMode="External"/><Relationship Id="rId1" Type="http://schemas.openxmlformats.org/officeDocument/2006/relationships/hyperlink" Target="https://www.pewresearch.org/short-reads/2024/09/12/who-is-hispanic/" TargetMode="External"/><Relationship Id="rId6" Type="http://schemas.openxmlformats.org/officeDocument/2006/relationships/hyperlink" Target="https://www.latinousa.org/2014/05/02/invention-hispanics/" TargetMode="External"/><Relationship Id="rId5" Type="http://schemas.openxmlformats.org/officeDocument/2006/relationships/hyperlink" Target="https://www.pewresearch.org/hispanic/2013/10/22/3-hispanic-identity/" TargetMode="External"/><Relationship Id="rId4" Type="http://schemas.openxmlformats.org/officeDocument/2006/relationships/hyperlink" Target="https://www.pewresearch.org/hispanic/2020/08/11/about-one-in-four-u-s-hispanics-have-heard-of-latinx-but-just-3-us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5241</Words>
  <Characters>29880</Characters>
  <Application>Microsoft Office Word</Application>
  <DocSecurity>0</DocSecurity>
  <Lines>249</Lines>
  <Paragraphs>70</Paragraphs>
  <ScaleCrop>false</ScaleCrop>
  <Company/>
  <LinksUpToDate>false</LinksUpToDate>
  <CharactersWithSpaces>35051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Mercedes Larios</cp:lastModifiedBy>
  <cp:revision>2</cp:revision>
  <dcterms:created xsi:type="dcterms:W3CDTF">2026-09-23T01:43:00Z</dcterms:created>
  <dcterms:modified xsi:type="dcterms:W3CDTF">2026-09-23T01:44:00Z</dcterms:modified>
</cp:coreProperties>
</file>